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006" w:rsidRPr="002946CC" w:rsidRDefault="00FE1006" w:rsidP="00FE1006">
      <w:pPr>
        <w:ind w:left="1843" w:right="1983"/>
        <w:jc w:val="both"/>
        <w:rPr>
          <w:rFonts w:ascii="Tahoma" w:hAnsi="Tahoma" w:cs="Tahoma"/>
          <w:i/>
          <w:sz w:val="23"/>
          <w:szCs w:val="23"/>
        </w:rPr>
      </w:pPr>
      <w:r w:rsidRPr="002946CC">
        <w:rPr>
          <w:rFonts w:ascii="Tahoma" w:hAnsi="Tahoma" w:cs="Tahoma"/>
          <w:b/>
          <w:i/>
          <w:sz w:val="23"/>
          <w:szCs w:val="23"/>
        </w:rPr>
        <w:t>Sumilla   :</w:t>
      </w:r>
      <w:r w:rsidRPr="002946CC">
        <w:rPr>
          <w:rFonts w:ascii="Tahoma" w:hAnsi="Tahoma" w:cs="Tahoma"/>
          <w:i/>
          <w:sz w:val="23"/>
          <w:szCs w:val="23"/>
        </w:rPr>
        <w:t xml:space="preserve"> </w:t>
      </w:r>
      <w:r w:rsidRPr="002946CC">
        <w:rPr>
          <w:rFonts w:ascii="Tahoma" w:hAnsi="Tahoma" w:cs="Tahoma"/>
          <w:i/>
          <w:sz w:val="23"/>
          <w:szCs w:val="23"/>
        </w:rPr>
        <w:tab/>
        <w:t xml:space="preserve">“Es pasible de sanción el contratista que incumple injustificadamente </w:t>
      </w:r>
      <w:r w:rsidRPr="002946CC">
        <w:rPr>
          <w:rFonts w:ascii="Tahoma" w:hAnsi="Tahoma" w:cs="Tahoma"/>
          <w:sz w:val="23"/>
          <w:szCs w:val="23"/>
        </w:rPr>
        <w:t>el contrato</w:t>
      </w:r>
      <w:r w:rsidRPr="002946CC">
        <w:rPr>
          <w:rFonts w:ascii="Tahoma" w:hAnsi="Tahoma" w:cs="Tahoma"/>
          <w:i/>
          <w:sz w:val="23"/>
          <w:szCs w:val="23"/>
        </w:rPr>
        <w:t>, pese a haber sido requerido previamente para que ejecute las prestaciones a su cargo</w:t>
      </w:r>
    </w:p>
    <w:p w:rsidR="00FE1006" w:rsidRPr="002946CC" w:rsidRDefault="00FE1006" w:rsidP="00FE1006">
      <w:pPr>
        <w:pStyle w:val="Textoindependiente3"/>
        <w:spacing w:after="0"/>
        <w:rPr>
          <w:rFonts w:ascii="Tahoma" w:hAnsi="Tahoma" w:cs="Tahoma"/>
          <w:i/>
          <w:sz w:val="23"/>
          <w:szCs w:val="23"/>
          <w:lang w:val="es-ES"/>
        </w:rPr>
      </w:pPr>
    </w:p>
    <w:p w:rsidR="00FE1006" w:rsidRPr="002946CC" w:rsidRDefault="00870A4E" w:rsidP="00870A4E">
      <w:pPr>
        <w:pStyle w:val="Textoindependiente3"/>
        <w:spacing w:after="0"/>
        <w:ind w:left="4248" w:firstLine="708"/>
        <w:jc w:val="both"/>
        <w:rPr>
          <w:rFonts w:ascii="Tahoma" w:hAnsi="Tahoma" w:cs="Tahoma"/>
          <w:b/>
          <w:sz w:val="23"/>
          <w:szCs w:val="23"/>
        </w:rPr>
      </w:pPr>
      <w:r>
        <w:rPr>
          <w:rFonts w:ascii="Tahoma" w:hAnsi="Tahoma" w:cs="Tahoma"/>
          <w:b/>
          <w:sz w:val="23"/>
          <w:szCs w:val="23"/>
        </w:rPr>
        <w:t xml:space="preserve">  </w:t>
      </w:r>
      <w:r w:rsidR="00FE1006" w:rsidRPr="002946CC">
        <w:rPr>
          <w:rFonts w:ascii="Tahoma" w:hAnsi="Tahoma" w:cs="Tahoma"/>
          <w:b/>
          <w:sz w:val="23"/>
          <w:szCs w:val="23"/>
        </w:rPr>
        <w:t>Lima,</w:t>
      </w:r>
      <w:r>
        <w:rPr>
          <w:rFonts w:ascii="Tahoma" w:hAnsi="Tahoma" w:cs="Tahoma"/>
          <w:b/>
          <w:sz w:val="23"/>
          <w:szCs w:val="23"/>
        </w:rPr>
        <w:t xml:space="preserve"> 15 de Febrero de 2011</w:t>
      </w:r>
    </w:p>
    <w:p w:rsidR="00FE1006" w:rsidRPr="002946CC" w:rsidRDefault="00FE1006" w:rsidP="00FE1006">
      <w:pPr>
        <w:pStyle w:val="Textoindependiente3"/>
        <w:spacing w:after="0"/>
        <w:ind w:left="5387"/>
        <w:jc w:val="both"/>
        <w:rPr>
          <w:rFonts w:ascii="Tahoma" w:hAnsi="Tahoma" w:cs="Tahoma"/>
          <w:b/>
          <w:sz w:val="23"/>
          <w:szCs w:val="23"/>
        </w:rPr>
      </w:pPr>
    </w:p>
    <w:p w:rsidR="00FE1006" w:rsidRDefault="00FE1006" w:rsidP="00FE1006">
      <w:pPr>
        <w:ind w:firstLine="567"/>
        <w:contextualSpacing/>
        <w:jc w:val="both"/>
        <w:rPr>
          <w:rFonts w:ascii="Tahoma" w:hAnsi="Tahoma" w:cs="Tahoma"/>
          <w:sz w:val="22"/>
          <w:szCs w:val="22"/>
          <w:lang w:val="pt-PT"/>
        </w:rPr>
      </w:pPr>
      <w:r w:rsidRPr="002946CC">
        <w:rPr>
          <w:rFonts w:ascii="Tahoma" w:hAnsi="Tahoma" w:cs="Tahoma"/>
          <w:b/>
          <w:sz w:val="23"/>
          <w:szCs w:val="23"/>
        </w:rPr>
        <w:t xml:space="preserve">Visto </w:t>
      </w:r>
      <w:r>
        <w:rPr>
          <w:rFonts w:ascii="Tahoma" w:hAnsi="Tahoma" w:cs="Tahoma"/>
          <w:sz w:val="23"/>
          <w:szCs w:val="23"/>
        </w:rPr>
        <w:t>en sesión de fecha 1</w:t>
      </w:r>
      <w:r w:rsidR="00E30BD7">
        <w:rPr>
          <w:rFonts w:ascii="Tahoma" w:hAnsi="Tahoma" w:cs="Tahoma"/>
          <w:sz w:val="23"/>
          <w:szCs w:val="23"/>
        </w:rPr>
        <w:t>4</w:t>
      </w:r>
      <w:r>
        <w:rPr>
          <w:rFonts w:ascii="Tahoma" w:hAnsi="Tahoma" w:cs="Tahoma"/>
          <w:sz w:val="23"/>
          <w:szCs w:val="23"/>
        </w:rPr>
        <w:t xml:space="preserve"> de febrero de 2011</w:t>
      </w:r>
      <w:r w:rsidRPr="002946CC">
        <w:rPr>
          <w:rFonts w:ascii="Tahoma" w:hAnsi="Tahoma" w:cs="Tahoma"/>
          <w:sz w:val="23"/>
          <w:szCs w:val="23"/>
        </w:rPr>
        <w:t xml:space="preserve"> la Primera Sala del Tribunal de Contrataciones </w:t>
      </w:r>
      <w:r>
        <w:rPr>
          <w:rFonts w:ascii="Tahoma" w:hAnsi="Tahoma" w:cs="Tahoma"/>
          <w:sz w:val="23"/>
          <w:szCs w:val="23"/>
        </w:rPr>
        <w:t>del Estado el Expediente N° 1236.2010</w:t>
      </w:r>
      <w:r w:rsidRPr="002946CC">
        <w:rPr>
          <w:rFonts w:ascii="Tahoma" w:hAnsi="Tahoma" w:cs="Tahoma"/>
          <w:sz w:val="23"/>
          <w:szCs w:val="23"/>
        </w:rPr>
        <w:t xml:space="preserve">-TC; sobre el procedimiento administrativo sancionador iniciado contra </w:t>
      </w:r>
      <w:r w:rsidRPr="00832CBD">
        <w:rPr>
          <w:rFonts w:ascii="Tahoma" w:hAnsi="Tahoma" w:cs="Tahoma"/>
          <w:sz w:val="22"/>
          <w:szCs w:val="22"/>
        </w:rPr>
        <w:t xml:space="preserve">la empresa </w:t>
      </w:r>
      <w:r w:rsidRPr="00FE2E4D">
        <w:rPr>
          <w:rFonts w:ascii="Tahoma" w:hAnsi="Tahoma" w:cs="Tahoma"/>
          <w:sz w:val="22"/>
          <w:szCs w:val="22"/>
        </w:rPr>
        <w:t>AFC CONTRATISTAS GENERALES S.A.C.</w:t>
      </w:r>
      <w:r w:rsidRPr="002946CC">
        <w:rPr>
          <w:rFonts w:ascii="Tahoma" w:hAnsi="Tahoma" w:cs="Tahoma"/>
          <w:sz w:val="23"/>
          <w:szCs w:val="23"/>
        </w:rPr>
        <w:t xml:space="preserve">, </w:t>
      </w:r>
      <w:r w:rsidRPr="002C60BB">
        <w:rPr>
          <w:rFonts w:ascii="Tahoma" w:hAnsi="Tahoma" w:cs="Tahoma"/>
          <w:sz w:val="22"/>
          <w:szCs w:val="22"/>
        </w:rPr>
        <w:t xml:space="preserve">por supuesta responsabilidad al haber dado lugar a la resolución </w:t>
      </w:r>
      <w:r>
        <w:rPr>
          <w:rFonts w:ascii="Tahoma" w:hAnsi="Tahoma" w:cs="Tahoma"/>
          <w:sz w:val="22"/>
          <w:szCs w:val="22"/>
        </w:rPr>
        <w:t xml:space="preserve">parcial </w:t>
      </w:r>
      <w:r w:rsidRPr="002C60BB">
        <w:rPr>
          <w:rFonts w:ascii="Tahoma" w:hAnsi="Tahoma" w:cs="Tahoma"/>
          <w:sz w:val="22"/>
          <w:szCs w:val="22"/>
        </w:rPr>
        <w:t>de</w:t>
      </w:r>
      <w:r>
        <w:rPr>
          <w:rFonts w:ascii="Tahoma" w:hAnsi="Tahoma" w:cs="Tahoma"/>
          <w:sz w:val="22"/>
          <w:szCs w:val="22"/>
        </w:rPr>
        <w:t>l Contrato de Adquisición de Bienes</w:t>
      </w:r>
      <w:r w:rsidRPr="00832CBD">
        <w:rPr>
          <w:rFonts w:ascii="Tahoma" w:eastAsia="MS Mincho" w:hAnsi="Tahoma" w:cs="Tahoma"/>
          <w:sz w:val="22"/>
          <w:szCs w:val="22"/>
        </w:rPr>
        <w:t xml:space="preserve">, derivado de la </w:t>
      </w:r>
      <w:r>
        <w:rPr>
          <w:rFonts w:ascii="Tahoma" w:hAnsi="Tahoma" w:cs="Tahoma"/>
          <w:sz w:val="22"/>
          <w:szCs w:val="22"/>
        </w:rPr>
        <w:t>Exoneración Nº 0001-2009-MDH, por relación de ítems</w:t>
      </w:r>
      <w:r w:rsidRPr="00837A2F">
        <w:rPr>
          <w:rFonts w:ascii="Tahoma" w:hAnsi="Tahoma" w:cs="Tahoma"/>
          <w:sz w:val="22"/>
          <w:szCs w:val="22"/>
        </w:rPr>
        <w:t xml:space="preserve">, para </w:t>
      </w:r>
      <w:r>
        <w:rPr>
          <w:rFonts w:ascii="Tahoma" w:hAnsi="Tahoma" w:cs="Tahoma"/>
          <w:sz w:val="22"/>
          <w:szCs w:val="22"/>
        </w:rPr>
        <w:t>la “Adquisición de materiales para obra de electrificación rural”</w:t>
      </w:r>
      <w:r>
        <w:rPr>
          <w:rFonts w:ascii="Tahoma" w:hAnsi="Tahoma" w:cs="Tahoma"/>
          <w:sz w:val="22"/>
          <w:szCs w:val="22"/>
          <w:lang w:val="pt-PT"/>
        </w:rPr>
        <w:t>.</w:t>
      </w:r>
    </w:p>
    <w:p w:rsidR="00FE1006" w:rsidRPr="002946CC" w:rsidRDefault="00FE1006" w:rsidP="00FE1006">
      <w:pPr>
        <w:ind w:firstLine="567"/>
        <w:contextualSpacing/>
        <w:jc w:val="both"/>
        <w:rPr>
          <w:rFonts w:ascii="Tahoma" w:hAnsi="Tahoma" w:cs="Tahoma"/>
          <w:b/>
          <w:sz w:val="23"/>
          <w:szCs w:val="23"/>
          <w:lang w:val="es-ES_tradnl"/>
        </w:rPr>
      </w:pPr>
    </w:p>
    <w:p w:rsidR="00FE1006" w:rsidRPr="002946CC" w:rsidRDefault="00FE1006" w:rsidP="00FE1006">
      <w:pPr>
        <w:pStyle w:val="Prrafodelista"/>
        <w:numPr>
          <w:ilvl w:val="0"/>
          <w:numId w:val="1"/>
        </w:numPr>
        <w:ind w:left="567" w:hanging="425"/>
        <w:rPr>
          <w:rFonts w:ascii="Tahoma" w:hAnsi="Tahoma" w:cs="Tahoma"/>
          <w:b/>
          <w:sz w:val="23"/>
          <w:szCs w:val="23"/>
        </w:rPr>
      </w:pPr>
      <w:r w:rsidRPr="002946CC">
        <w:rPr>
          <w:rFonts w:ascii="Tahoma" w:hAnsi="Tahoma" w:cs="Tahoma"/>
          <w:b/>
          <w:sz w:val="23"/>
          <w:szCs w:val="23"/>
        </w:rPr>
        <w:t>ANTECEDENTES:</w:t>
      </w:r>
    </w:p>
    <w:p w:rsidR="00FE1006" w:rsidRPr="002946CC" w:rsidRDefault="00FE1006" w:rsidP="00FE1006">
      <w:pPr>
        <w:jc w:val="both"/>
        <w:rPr>
          <w:rFonts w:ascii="Tahoma" w:hAnsi="Tahoma" w:cs="Tahoma"/>
          <w:b/>
          <w:sz w:val="23"/>
          <w:szCs w:val="23"/>
          <w:lang w:eastAsia="es-PE"/>
        </w:rPr>
      </w:pPr>
    </w:p>
    <w:p w:rsidR="00FE1006" w:rsidRDefault="00FE1006" w:rsidP="00FE1006">
      <w:pPr>
        <w:numPr>
          <w:ilvl w:val="0"/>
          <w:numId w:val="9"/>
        </w:numPr>
        <w:tabs>
          <w:tab w:val="clear" w:pos="454"/>
        </w:tabs>
        <w:ind w:left="567" w:right="-1" w:hanging="567"/>
        <w:jc w:val="both"/>
        <w:rPr>
          <w:rFonts w:ascii="Tahoma" w:hAnsi="Tahoma" w:cs="Tahoma"/>
          <w:sz w:val="22"/>
          <w:szCs w:val="22"/>
        </w:rPr>
      </w:pPr>
      <w:r>
        <w:rPr>
          <w:rFonts w:ascii="Tahoma" w:hAnsi="Tahoma" w:cs="Tahoma"/>
          <w:sz w:val="22"/>
          <w:szCs w:val="22"/>
        </w:rPr>
        <w:t>El 04 de junio de 2009</w:t>
      </w:r>
      <w:r w:rsidRPr="00837A2F">
        <w:rPr>
          <w:rFonts w:ascii="Tahoma" w:hAnsi="Tahoma" w:cs="Tahoma"/>
          <w:sz w:val="22"/>
          <w:szCs w:val="22"/>
        </w:rPr>
        <w:t xml:space="preserve">, la </w:t>
      </w:r>
      <w:r w:rsidRPr="004C50F2">
        <w:rPr>
          <w:rFonts w:ascii="Tahoma" w:hAnsi="Tahoma" w:cs="Tahoma"/>
          <w:sz w:val="22"/>
          <w:szCs w:val="22"/>
          <w:lang w:val="es-PE"/>
        </w:rPr>
        <w:t>MUNICIPALIDAD DISTRITAL DE HUABAL</w:t>
      </w:r>
      <w:r w:rsidRPr="00837A2F">
        <w:rPr>
          <w:rFonts w:ascii="Tahoma" w:hAnsi="Tahoma" w:cs="Tahoma"/>
          <w:sz w:val="22"/>
          <w:szCs w:val="22"/>
        </w:rPr>
        <w:t xml:space="preserve">, en lo sucesivo la Entidad, convocó </w:t>
      </w:r>
      <w:r>
        <w:rPr>
          <w:rFonts w:ascii="Tahoma" w:hAnsi="Tahoma" w:cs="Tahoma"/>
          <w:sz w:val="22"/>
          <w:szCs w:val="22"/>
        </w:rPr>
        <w:t>a la Exoneración Nº 0001-2009-MDH, por relación de ítems</w:t>
      </w:r>
      <w:r w:rsidRPr="00837A2F">
        <w:rPr>
          <w:rFonts w:ascii="Tahoma" w:hAnsi="Tahoma" w:cs="Tahoma"/>
          <w:sz w:val="22"/>
          <w:szCs w:val="22"/>
        </w:rPr>
        <w:t xml:space="preserve">, para </w:t>
      </w:r>
      <w:r>
        <w:rPr>
          <w:rFonts w:ascii="Tahoma" w:hAnsi="Tahoma" w:cs="Tahoma"/>
          <w:sz w:val="22"/>
          <w:szCs w:val="22"/>
        </w:rPr>
        <w:t>la “Adquisición de materiales para obra de electrificación rural”</w:t>
      </w:r>
      <w:r w:rsidRPr="00837A2F">
        <w:rPr>
          <w:rFonts w:ascii="Tahoma" w:hAnsi="Tahoma" w:cs="Tahoma"/>
          <w:sz w:val="22"/>
          <w:szCs w:val="22"/>
        </w:rPr>
        <w:t xml:space="preserve">, por un valor referencial de </w:t>
      </w:r>
      <w:r w:rsidRPr="007A07ED">
        <w:rPr>
          <w:rFonts w:ascii="Tahoma" w:hAnsi="Tahoma" w:cs="Tahoma"/>
          <w:sz w:val="22"/>
          <w:szCs w:val="22"/>
        </w:rPr>
        <w:t xml:space="preserve">S/. </w:t>
      </w:r>
      <w:r>
        <w:rPr>
          <w:rFonts w:ascii="Tahoma" w:hAnsi="Tahoma" w:cs="Tahoma"/>
          <w:sz w:val="22"/>
          <w:szCs w:val="22"/>
        </w:rPr>
        <w:t>2 325,322.03</w:t>
      </w:r>
      <w:r w:rsidRPr="00837A2F">
        <w:rPr>
          <w:rFonts w:ascii="Tahoma" w:hAnsi="Tahoma" w:cs="Tahoma"/>
          <w:b/>
          <w:sz w:val="22"/>
          <w:szCs w:val="22"/>
        </w:rPr>
        <w:t xml:space="preserve"> </w:t>
      </w:r>
      <w:r w:rsidRPr="00837A2F">
        <w:rPr>
          <w:rFonts w:ascii="Tahoma" w:hAnsi="Tahoma" w:cs="Tahoma"/>
          <w:sz w:val="22"/>
          <w:szCs w:val="22"/>
        </w:rPr>
        <w:t>(</w:t>
      </w:r>
      <w:r>
        <w:rPr>
          <w:rFonts w:ascii="Tahoma" w:hAnsi="Tahoma" w:cs="Tahoma"/>
          <w:sz w:val="22"/>
          <w:szCs w:val="22"/>
        </w:rPr>
        <w:t>Dos millones trescientos veinticinco mil trescientos veintidós y 03/100 Nuevos Soles</w:t>
      </w:r>
      <w:r w:rsidRPr="00837A2F">
        <w:rPr>
          <w:rFonts w:ascii="Tahoma" w:hAnsi="Tahoma" w:cs="Tahoma"/>
          <w:sz w:val="22"/>
          <w:szCs w:val="22"/>
        </w:rPr>
        <w:t>).</w:t>
      </w:r>
    </w:p>
    <w:p w:rsidR="00FE1006" w:rsidRDefault="00FE1006" w:rsidP="00FE1006">
      <w:pPr>
        <w:ind w:left="567" w:right="-1"/>
        <w:jc w:val="both"/>
        <w:rPr>
          <w:rFonts w:ascii="Tahoma" w:hAnsi="Tahoma" w:cs="Tahoma"/>
          <w:sz w:val="22"/>
          <w:szCs w:val="22"/>
        </w:rPr>
      </w:pPr>
    </w:p>
    <w:p w:rsidR="00FE1006" w:rsidRDefault="00FE1006" w:rsidP="00FE1006">
      <w:pPr>
        <w:ind w:left="567" w:right="-1"/>
        <w:jc w:val="both"/>
        <w:rPr>
          <w:rFonts w:ascii="Tahoma" w:hAnsi="Tahoma" w:cs="Tahoma"/>
          <w:sz w:val="22"/>
          <w:szCs w:val="22"/>
        </w:rPr>
      </w:pPr>
      <w:r>
        <w:rPr>
          <w:rFonts w:ascii="Tahoma" w:hAnsi="Tahoma" w:cs="Tahoma"/>
          <w:sz w:val="22"/>
          <w:szCs w:val="22"/>
        </w:rPr>
        <w:t>Cabe precisar que el objeto de convocatoria para el ítem Nº 01 de dicho proceso de selección, fue para la adquisición de postes crucetas y bloques.</w:t>
      </w:r>
    </w:p>
    <w:p w:rsidR="00FE1006" w:rsidRDefault="00FE1006" w:rsidP="00FE1006">
      <w:pPr>
        <w:ind w:left="567" w:right="-1"/>
        <w:jc w:val="both"/>
        <w:rPr>
          <w:rFonts w:ascii="Tahoma" w:hAnsi="Tahoma" w:cs="Tahoma"/>
          <w:sz w:val="22"/>
          <w:szCs w:val="22"/>
        </w:rPr>
      </w:pPr>
    </w:p>
    <w:p w:rsidR="00FE1006" w:rsidRPr="00FE2E4D" w:rsidRDefault="00FE1006" w:rsidP="00FE1006">
      <w:pPr>
        <w:numPr>
          <w:ilvl w:val="0"/>
          <w:numId w:val="9"/>
        </w:numPr>
        <w:tabs>
          <w:tab w:val="clear" w:pos="454"/>
        </w:tabs>
        <w:ind w:left="567" w:right="-1" w:hanging="567"/>
        <w:jc w:val="both"/>
        <w:rPr>
          <w:rFonts w:ascii="Tahoma" w:hAnsi="Tahoma" w:cs="Tahoma"/>
          <w:sz w:val="22"/>
          <w:szCs w:val="22"/>
        </w:rPr>
      </w:pPr>
      <w:r w:rsidRPr="00FE2E4D">
        <w:rPr>
          <w:rFonts w:ascii="Tahoma" w:hAnsi="Tahoma" w:cs="Tahoma"/>
          <w:sz w:val="22"/>
          <w:szCs w:val="22"/>
        </w:rPr>
        <w:t>El 19 de noviembre de 2009, se llevó a cabo los actos de presentación evaluación de propuestas y otorgamiento de la buena pro</w:t>
      </w:r>
      <w:r>
        <w:rPr>
          <w:rFonts w:ascii="Tahoma" w:hAnsi="Tahoma" w:cs="Tahoma"/>
          <w:sz w:val="22"/>
          <w:szCs w:val="22"/>
        </w:rPr>
        <w:t>, la misma que respecto al ítem Nº 01 fue</w:t>
      </w:r>
      <w:r w:rsidRPr="00FE2E4D">
        <w:rPr>
          <w:rFonts w:ascii="Tahoma" w:hAnsi="Tahoma" w:cs="Tahoma"/>
          <w:sz w:val="22"/>
          <w:szCs w:val="22"/>
        </w:rPr>
        <w:t xml:space="preserve"> adjudicada a favor de la empresa AFC CONTRATISTAS GENERALES S.A.C.</w:t>
      </w:r>
      <w:r w:rsidRPr="00FE2E4D">
        <w:rPr>
          <w:rFonts w:ascii="Tahoma" w:hAnsi="Tahoma" w:cs="Tahoma"/>
          <w:bCs/>
          <w:color w:val="000000"/>
          <w:sz w:val="22"/>
          <w:szCs w:val="22"/>
        </w:rPr>
        <w:t>, en adelant</w:t>
      </w:r>
      <w:r>
        <w:rPr>
          <w:rFonts w:ascii="Tahoma" w:hAnsi="Tahoma" w:cs="Tahoma"/>
          <w:bCs/>
          <w:color w:val="000000"/>
          <w:sz w:val="22"/>
          <w:szCs w:val="22"/>
        </w:rPr>
        <w:t>e la Contratista</w:t>
      </w:r>
      <w:r w:rsidRPr="00FE2E4D">
        <w:rPr>
          <w:rFonts w:ascii="Tahoma" w:hAnsi="Tahoma" w:cs="Tahoma"/>
          <w:bCs/>
          <w:color w:val="000000"/>
          <w:sz w:val="22"/>
          <w:szCs w:val="22"/>
        </w:rPr>
        <w:t>.</w:t>
      </w:r>
    </w:p>
    <w:p w:rsidR="00FE1006" w:rsidRPr="00837A2F" w:rsidRDefault="00FE1006" w:rsidP="00FE1006">
      <w:pPr>
        <w:pStyle w:val="Prrafodelista"/>
        <w:rPr>
          <w:rFonts w:ascii="Tahoma" w:hAnsi="Tahoma" w:cs="Tahoma"/>
          <w:sz w:val="22"/>
          <w:szCs w:val="22"/>
        </w:rPr>
      </w:pPr>
    </w:p>
    <w:p w:rsidR="00FE1006" w:rsidRDefault="00FE1006" w:rsidP="00FE1006">
      <w:pPr>
        <w:numPr>
          <w:ilvl w:val="0"/>
          <w:numId w:val="9"/>
        </w:numPr>
        <w:tabs>
          <w:tab w:val="clear" w:pos="454"/>
          <w:tab w:val="num" w:pos="540"/>
          <w:tab w:val="num" w:pos="567"/>
        </w:tabs>
        <w:ind w:left="540" w:right="-1" w:hanging="540"/>
        <w:jc w:val="both"/>
        <w:rPr>
          <w:rFonts w:ascii="Tahoma" w:hAnsi="Tahoma" w:cs="Tahoma"/>
          <w:sz w:val="22"/>
          <w:szCs w:val="22"/>
        </w:rPr>
      </w:pPr>
      <w:r w:rsidRPr="00837A2F">
        <w:rPr>
          <w:rFonts w:ascii="Tahoma" w:hAnsi="Tahoma" w:cs="Tahoma"/>
          <w:sz w:val="22"/>
          <w:szCs w:val="22"/>
        </w:rPr>
        <w:t xml:space="preserve">Con fecha </w:t>
      </w:r>
      <w:r>
        <w:rPr>
          <w:rFonts w:ascii="Tahoma" w:hAnsi="Tahoma" w:cs="Tahoma"/>
          <w:sz w:val="22"/>
          <w:szCs w:val="22"/>
        </w:rPr>
        <w:t>30 de noviembre de 2009</w:t>
      </w:r>
      <w:r w:rsidRPr="00837A2F">
        <w:rPr>
          <w:rFonts w:ascii="Tahoma" w:hAnsi="Tahoma" w:cs="Tahoma"/>
          <w:sz w:val="22"/>
          <w:szCs w:val="22"/>
        </w:rPr>
        <w:t xml:space="preserve">, la Entidad </w:t>
      </w:r>
      <w:r>
        <w:rPr>
          <w:rFonts w:ascii="Tahoma" w:hAnsi="Tahoma" w:cs="Tahoma"/>
          <w:sz w:val="22"/>
          <w:szCs w:val="22"/>
        </w:rPr>
        <w:t>y la Contratista suscribieron el Contrato de Adquisición de Bienes, derivado del ítem Nº 01 de la Exoneración Nº 0001-2009-MDH.</w:t>
      </w:r>
    </w:p>
    <w:p w:rsidR="00FE1006" w:rsidRDefault="00FE1006" w:rsidP="00FE1006">
      <w:pPr>
        <w:pStyle w:val="Prrafodelista"/>
        <w:rPr>
          <w:rFonts w:ascii="Tahoma" w:hAnsi="Tahoma" w:cs="Tahoma"/>
          <w:sz w:val="22"/>
          <w:szCs w:val="22"/>
        </w:rPr>
      </w:pPr>
    </w:p>
    <w:p w:rsidR="00FE1006" w:rsidRDefault="00FE1006" w:rsidP="00FE1006">
      <w:pPr>
        <w:numPr>
          <w:ilvl w:val="0"/>
          <w:numId w:val="9"/>
        </w:numPr>
        <w:tabs>
          <w:tab w:val="clear" w:pos="454"/>
          <w:tab w:val="num" w:pos="540"/>
          <w:tab w:val="num" w:pos="567"/>
        </w:tabs>
        <w:ind w:left="540" w:right="-1" w:hanging="540"/>
        <w:jc w:val="both"/>
        <w:rPr>
          <w:rFonts w:ascii="Tahoma" w:hAnsi="Tahoma" w:cs="Tahoma"/>
          <w:sz w:val="22"/>
          <w:szCs w:val="22"/>
        </w:rPr>
      </w:pPr>
      <w:r w:rsidRPr="007450FD">
        <w:rPr>
          <w:rFonts w:ascii="Tahoma" w:hAnsi="Tahoma" w:cs="Tahoma"/>
          <w:sz w:val="22"/>
          <w:szCs w:val="22"/>
        </w:rPr>
        <w:t>Mediante Carta Notarial Nº 131, notificada vía notarial el 23 de junio de 2010, se comunicó a la Contratista que no ha cumplido con la entrega de la totalidad de los postes de concreto, crucetas de madera tratada, bloques de concreto y cajas de registro; por lo que de conformidad con el artículo 169 del Reglamento de la Ley de Contrataciones del Estado, se le requirió para que en un plazo no mayor de cinco (05) días, satisfaga sus obligaciones contractuales, bajo apercibimiento de resolver el contrato.</w:t>
      </w:r>
    </w:p>
    <w:p w:rsidR="00FE1006" w:rsidRDefault="00FE1006" w:rsidP="00FE1006">
      <w:pPr>
        <w:tabs>
          <w:tab w:val="num" w:pos="567"/>
        </w:tabs>
        <w:ind w:right="-1"/>
        <w:jc w:val="both"/>
        <w:rPr>
          <w:rFonts w:ascii="Tahoma" w:hAnsi="Tahoma" w:cs="Tahoma"/>
          <w:sz w:val="22"/>
          <w:szCs w:val="22"/>
        </w:rPr>
      </w:pPr>
    </w:p>
    <w:p w:rsidR="00FE1006" w:rsidRDefault="00FE1006" w:rsidP="00FE1006">
      <w:pPr>
        <w:numPr>
          <w:ilvl w:val="0"/>
          <w:numId w:val="9"/>
        </w:numPr>
        <w:tabs>
          <w:tab w:val="clear" w:pos="454"/>
          <w:tab w:val="num" w:pos="540"/>
          <w:tab w:val="num" w:pos="567"/>
        </w:tabs>
        <w:ind w:left="540" w:right="-1" w:hanging="540"/>
        <w:jc w:val="both"/>
        <w:rPr>
          <w:rFonts w:ascii="Tahoma" w:hAnsi="Tahoma" w:cs="Tahoma"/>
          <w:sz w:val="22"/>
          <w:szCs w:val="22"/>
        </w:rPr>
      </w:pPr>
      <w:r>
        <w:rPr>
          <w:rFonts w:ascii="Tahoma" w:hAnsi="Tahoma" w:cs="Tahoma"/>
          <w:sz w:val="22"/>
          <w:szCs w:val="22"/>
        </w:rPr>
        <w:lastRenderedPageBreak/>
        <w:t>Teniendo en consideración que la Contratista no cumplió con sus obligaciones contractuales, mediante Carta Notarial Nº 317 notificada vía notarial el 21 de julio de 2010, se le notificó la Resolución de Alcaldía Nº 022-2010-MDH-J-CAJ de fecha 12 de julio del 2010, mediante la cual se resolvió parcialmente el Contrato de Adquisición de Bienes, derivado del ítem Nº 01 de la Exoneración Nº 0001-2009-MDH.</w:t>
      </w:r>
    </w:p>
    <w:p w:rsidR="00FE1006" w:rsidRDefault="00FE1006" w:rsidP="00FE1006">
      <w:pPr>
        <w:pStyle w:val="Prrafodelista"/>
        <w:rPr>
          <w:rFonts w:ascii="Tahoma" w:hAnsi="Tahoma" w:cs="Tahoma"/>
          <w:sz w:val="22"/>
          <w:szCs w:val="22"/>
        </w:rPr>
      </w:pPr>
    </w:p>
    <w:p w:rsidR="00FE1006" w:rsidRPr="00837A2F" w:rsidRDefault="00FE1006" w:rsidP="00FE1006">
      <w:pPr>
        <w:numPr>
          <w:ilvl w:val="0"/>
          <w:numId w:val="9"/>
        </w:numPr>
        <w:tabs>
          <w:tab w:val="clear" w:pos="454"/>
          <w:tab w:val="num" w:pos="567"/>
        </w:tabs>
        <w:ind w:left="540" w:right="-1" w:hanging="540"/>
        <w:jc w:val="both"/>
        <w:rPr>
          <w:rFonts w:ascii="Tahoma" w:hAnsi="Tahoma" w:cs="Tahoma"/>
          <w:sz w:val="22"/>
          <w:szCs w:val="22"/>
        </w:rPr>
      </w:pPr>
      <w:r w:rsidRPr="00837A2F">
        <w:rPr>
          <w:rFonts w:ascii="Tahoma" w:hAnsi="Tahoma" w:cs="Tahoma"/>
          <w:sz w:val="22"/>
          <w:szCs w:val="22"/>
        </w:rPr>
        <w:t xml:space="preserve">Con </w:t>
      </w:r>
      <w:r>
        <w:rPr>
          <w:rFonts w:ascii="Tahoma" w:hAnsi="Tahoma" w:cs="Tahoma"/>
          <w:sz w:val="22"/>
          <w:szCs w:val="22"/>
        </w:rPr>
        <w:t>Oficio Nº 079-2010-MDH-CAJAM/JAÉN presentado el 10 de setiembre de 2010</w:t>
      </w:r>
      <w:r w:rsidRPr="00837A2F">
        <w:rPr>
          <w:rFonts w:ascii="Tahoma" w:hAnsi="Tahoma" w:cs="Tahoma"/>
          <w:sz w:val="22"/>
          <w:szCs w:val="22"/>
        </w:rPr>
        <w:t>, la Entidad puso en conocimiento de este Tribunal de Contrataciones del Estado, en adelante el Tribunal, los hechos antes expuestos.</w:t>
      </w:r>
    </w:p>
    <w:p w:rsidR="00FE1006" w:rsidRPr="00837A2F" w:rsidRDefault="00FE1006" w:rsidP="00FE1006">
      <w:pPr>
        <w:tabs>
          <w:tab w:val="num" w:pos="567"/>
        </w:tabs>
        <w:ind w:left="540" w:right="-1"/>
        <w:jc w:val="both"/>
        <w:rPr>
          <w:rFonts w:ascii="Tahoma" w:hAnsi="Tahoma" w:cs="Tahoma"/>
          <w:sz w:val="22"/>
          <w:szCs w:val="22"/>
        </w:rPr>
      </w:pPr>
    </w:p>
    <w:p w:rsidR="00FE1006" w:rsidRPr="002C60BB" w:rsidRDefault="00FE1006" w:rsidP="00FE1006">
      <w:pPr>
        <w:numPr>
          <w:ilvl w:val="0"/>
          <w:numId w:val="9"/>
        </w:numPr>
        <w:tabs>
          <w:tab w:val="clear" w:pos="454"/>
          <w:tab w:val="num" w:pos="540"/>
          <w:tab w:val="num" w:pos="567"/>
        </w:tabs>
        <w:ind w:left="540" w:right="-1" w:hanging="540"/>
        <w:jc w:val="both"/>
        <w:rPr>
          <w:rFonts w:ascii="Tahoma" w:hAnsi="Tahoma" w:cs="Tahoma"/>
          <w:sz w:val="22"/>
          <w:szCs w:val="22"/>
        </w:rPr>
      </w:pPr>
      <w:r w:rsidRPr="002C60BB">
        <w:rPr>
          <w:rFonts w:ascii="Tahoma" w:hAnsi="Tahoma" w:cs="Tahoma"/>
          <w:sz w:val="22"/>
          <w:szCs w:val="22"/>
        </w:rPr>
        <w:t xml:space="preserve">A través del decreto de fecha </w:t>
      </w:r>
      <w:r>
        <w:rPr>
          <w:rFonts w:ascii="Tahoma" w:hAnsi="Tahoma" w:cs="Tahoma"/>
          <w:sz w:val="22"/>
          <w:szCs w:val="22"/>
        </w:rPr>
        <w:t>15 de setiembre</w:t>
      </w:r>
      <w:r w:rsidRPr="002C60BB">
        <w:rPr>
          <w:rFonts w:ascii="Tahoma" w:hAnsi="Tahoma" w:cs="Tahoma"/>
          <w:sz w:val="22"/>
          <w:szCs w:val="22"/>
        </w:rPr>
        <w:t xml:space="preserve"> de 2010, se inició procedimiento administrativo sancionador contra </w:t>
      </w:r>
      <w:r>
        <w:rPr>
          <w:rFonts w:ascii="Tahoma" w:hAnsi="Tahoma" w:cs="Tahoma"/>
          <w:sz w:val="22"/>
          <w:szCs w:val="22"/>
        </w:rPr>
        <w:t>la Contratista</w:t>
      </w:r>
      <w:r w:rsidRPr="002C60BB">
        <w:rPr>
          <w:rFonts w:ascii="Tahoma" w:hAnsi="Tahoma" w:cs="Tahoma"/>
          <w:sz w:val="22"/>
          <w:szCs w:val="22"/>
        </w:rPr>
        <w:t xml:space="preserve">, por supuesta responsabilidad al haber dado lugar a la resolución </w:t>
      </w:r>
      <w:r>
        <w:rPr>
          <w:rFonts w:ascii="Tahoma" w:hAnsi="Tahoma" w:cs="Tahoma"/>
          <w:sz w:val="22"/>
          <w:szCs w:val="22"/>
        </w:rPr>
        <w:t xml:space="preserve">parcial </w:t>
      </w:r>
      <w:r w:rsidRPr="002C60BB">
        <w:rPr>
          <w:rFonts w:ascii="Tahoma" w:hAnsi="Tahoma" w:cs="Tahoma"/>
          <w:sz w:val="22"/>
          <w:szCs w:val="22"/>
        </w:rPr>
        <w:t>de</w:t>
      </w:r>
      <w:r>
        <w:rPr>
          <w:rFonts w:ascii="Tahoma" w:hAnsi="Tahoma" w:cs="Tahoma"/>
          <w:sz w:val="22"/>
          <w:szCs w:val="22"/>
        </w:rPr>
        <w:t>l Contrato de Adquisición de Bienes.</w:t>
      </w:r>
    </w:p>
    <w:p w:rsidR="00FE1006" w:rsidRPr="00837A2F" w:rsidRDefault="00FE1006" w:rsidP="00FE1006">
      <w:pPr>
        <w:contextualSpacing/>
        <w:jc w:val="both"/>
        <w:rPr>
          <w:rFonts w:ascii="Tahoma" w:hAnsi="Tahoma" w:cs="Tahoma"/>
          <w:sz w:val="22"/>
          <w:szCs w:val="22"/>
        </w:rPr>
      </w:pPr>
    </w:p>
    <w:p w:rsidR="00FE1006" w:rsidRPr="00837A2F" w:rsidRDefault="00FE1006" w:rsidP="00FE1006">
      <w:pPr>
        <w:ind w:left="567"/>
        <w:jc w:val="both"/>
        <w:rPr>
          <w:rFonts w:ascii="Tahoma" w:eastAsia="MS Mincho" w:hAnsi="Tahoma" w:cs="Tahoma"/>
          <w:sz w:val="22"/>
          <w:szCs w:val="22"/>
        </w:rPr>
      </w:pPr>
      <w:r w:rsidRPr="00837A2F">
        <w:rPr>
          <w:rFonts w:ascii="Tahoma" w:eastAsia="MS Mincho" w:hAnsi="Tahoma" w:cs="Tahoma"/>
          <w:sz w:val="22"/>
          <w:szCs w:val="22"/>
        </w:rPr>
        <w:t>Asimismo, se otorgó un plazo de diez (10) días hábiles para que cumpla</w:t>
      </w:r>
      <w:r>
        <w:rPr>
          <w:rFonts w:ascii="Tahoma" w:eastAsia="MS Mincho" w:hAnsi="Tahoma" w:cs="Tahoma"/>
          <w:sz w:val="22"/>
          <w:szCs w:val="22"/>
        </w:rPr>
        <w:t>n</w:t>
      </w:r>
      <w:r w:rsidRPr="00837A2F">
        <w:rPr>
          <w:rFonts w:ascii="Tahoma" w:eastAsia="MS Mincho" w:hAnsi="Tahoma" w:cs="Tahoma"/>
          <w:sz w:val="22"/>
          <w:szCs w:val="22"/>
        </w:rPr>
        <w:t xml:space="preserve"> con presentar sus descargos, bajo apercibimiento de resolver el procedimiento con la documentación obrante en el expediente.</w:t>
      </w:r>
    </w:p>
    <w:p w:rsidR="00FE1006" w:rsidRPr="00837A2F" w:rsidRDefault="00FE1006" w:rsidP="00FE1006">
      <w:pPr>
        <w:pStyle w:val="Prrafodelista"/>
        <w:rPr>
          <w:rFonts w:ascii="Tahoma" w:hAnsi="Tahoma" w:cs="Tahoma"/>
          <w:sz w:val="22"/>
          <w:szCs w:val="22"/>
        </w:rPr>
      </w:pPr>
    </w:p>
    <w:p w:rsidR="00FE1006" w:rsidRPr="00837A2F" w:rsidRDefault="00FE1006" w:rsidP="00FE1006">
      <w:pPr>
        <w:numPr>
          <w:ilvl w:val="0"/>
          <w:numId w:val="9"/>
        </w:numPr>
        <w:tabs>
          <w:tab w:val="clear" w:pos="454"/>
          <w:tab w:val="num" w:pos="567"/>
        </w:tabs>
        <w:ind w:left="540" w:right="-1" w:hanging="540"/>
        <w:jc w:val="both"/>
        <w:rPr>
          <w:rFonts w:ascii="Tahoma" w:hAnsi="Tahoma" w:cs="Tahoma"/>
          <w:sz w:val="22"/>
          <w:szCs w:val="22"/>
        </w:rPr>
      </w:pPr>
      <w:r>
        <w:rPr>
          <w:rFonts w:ascii="Tahoma" w:hAnsi="Tahoma" w:cs="Tahoma"/>
          <w:sz w:val="22"/>
          <w:szCs w:val="22"/>
          <w:lang w:eastAsia="es-PE"/>
        </w:rPr>
        <w:t>Mediante decreto de fecha 15 de setiembre</w:t>
      </w:r>
      <w:r w:rsidRPr="00837A2F">
        <w:rPr>
          <w:rFonts w:ascii="Tahoma" w:hAnsi="Tahoma" w:cs="Tahoma"/>
          <w:sz w:val="22"/>
          <w:szCs w:val="22"/>
          <w:lang w:eastAsia="es-PE"/>
        </w:rPr>
        <w:t xml:space="preserve"> de 2010, teniendo en consideración que la</w:t>
      </w:r>
      <w:r>
        <w:rPr>
          <w:rFonts w:ascii="Tahoma" w:hAnsi="Tahoma" w:cs="Tahoma"/>
          <w:sz w:val="22"/>
          <w:szCs w:val="22"/>
          <w:lang w:eastAsia="es-PE"/>
        </w:rPr>
        <w:t xml:space="preserve"> Contratista</w:t>
      </w:r>
      <w:r w:rsidRPr="00837A2F">
        <w:rPr>
          <w:rFonts w:ascii="Tahoma" w:eastAsia="MS Mincho" w:hAnsi="Tahoma" w:cs="Tahoma"/>
          <w:sz w:val="22"/>
          <w:szCs w:val="22"/>
        </w:rPr>
        <w:t>,</w:t>
      </w:r>
      <w:r>
        <w:rPr>
          <w:rFonts w:ascii="Tahoma" w:hAnsi="Tahoma" w:cs="Tahoma"/>
          <w:sz w:val="22"/>
          <w:szCs w:val="22"/>
          <w:lang w:eastAsia="es-PE"/>
        </w:rPr>
        <w:t xml:space="preserve"> no cumplió</w:t>
      </w:r>
      <w:r w:rsidRPr="00837A2F">
        <w:rPr>
          <w:rFonts w:ascii="Tahoma" w:hAnsi="Tahoma" w:cs="Tahoma"/>
          <w:sz w:val="22"/>
          <w:szCs w:val="22"/>
          <w:lang w:eastAsia="es-PE"/>
        </w:rPr>
        <w:t xml:space="preserve"> con presentar sus descargos, se hizo efectivo el apercibimiento decretado de resolver con la documentación obrante en autos y se r</w:t>
      </w:r>
      <w:r>
        <w:rPr>
          <w:rFonts w:ascii="Tahoma" w:hAnsi="Tahoma" w:cs="Tahoma"/>
          <w:sz w:val="22"/>
          <w:szCs w:val="22"/>
          <w:lang w:eastAsia="es-PE"/>
        </w:rPr>
        <w:t>emitió el expediente a la Primera</w:t>
      </w:r>
      <w:r w:rsidRPr="00837A2F">
        <w:rPr>
          <w:rFonts w:ascii="Tahoma" w:hAnsi="Tahoma" w:cs="Tahoma"/>
          <w:sz w:val="22"/>
          <w:szCs w:val="22"/>
          <w:lang w:eastAsia="es-PE"/>
        </w:rPr>
        <w:t xml:space="preserve"> Sala del Tribunal a fin que resuelva el procedimiento administrativo sancionador.</w:t>
      </w:r>
    </w:p>
    <w:p w:rsidR="00FE1006" w:rsidRPr="002946CC" w:rsidRDefault="00FE1006" w:rsidP="00FE1006">
      <w:pPr>
        <w:rPr>
          <w:rFonts w:ascii="Tahoma" w:hAnsi="Tahoma" w:cs="Tahoma"/>
          <w:b/>
          <w:sz w:val="23"/>
          <w:szCs w:val="23"/>
          <w:lang w:val="es-ES_tradnl"/>
        </w:rPr>
      </w:pPr>
    </w:p>
    <w:p w:rsidR="00FE1006" w:rsidRPr="002946CC" w:rsidRDefault="00FE1006" w:rsidP="00FE1006">
      <w:pPr>
        <w:pStyle w:val="Prrafodelista"/>
        <w:numPr>
          <w:ilvl w:val="0"/>
          <w:numId w:val="1"/>
        </w:numPr>
        <w:ind w:left="567" w:hanging="283"/>
        <w:rPr>
          <w:rFonts w:ascii="Tahoma" w:hAnsi="Tahoma" w:cs="Tahoma"/>
          <w:b/>
          <w:sz w:val="23"/>
          <w:szCs w:val="23"/>
        </w:rPr>
      </w:pPr>
      <w:r w:rsidRPr="002946CC">
        <w:rPr>
          <w:rFonts w:ascii="Tahoma" w:hAnsi="Tahoma" w:cs="Tahoma"/>
          <w:b/>
          <w:sz w:val="23"/>
          <w:szCs w:val="23"/>
        </w:rPr>
        <w:t>FUNDAMENTACIÓN</w:t>
      </w:r>
    </w:p>
    <w:p w:rsidR="00FE1006" w:rsidRPr="002946CC" w:rsidRDefault="00FE1006" w:rsidP="00FE1006">
      <w:pPr>
        <w:ind w:left="426"/>
        <w:jc w:val="both"/>
        <w:rPr>
          <w:rFonts w:ascii="Tahoma" w:hAnsi="Tahoma" w:cs="Tahoma"/>
          <w:sz w:val="23"/>
          <w:szCs w:val="23"/>
          <w:lang w:eastAsia="es-PE"/>
        </w:rPr>
      </w:pPr>
    </w:p>
    <w:p w:rsidR="00FE1006" w:rsidRPr="00EE2532" w:rsidRDefault="00FE1006" w:rsidP="00FE1006">
      <w:pPr>
        <w:numPr>
          <w:ilvl w:val="0"/>
          <w:numId w:val="10"/>
        </w:numPr>
        <w:tabs>
          <w:tab w:val="clear" w:pos="454"/>
          <w:tab w:val="num" w:pos="540"/>
          <w:tab w:val="num" w:pos="567"/>
        </w:tabs>
        <w:ind w:left="567" w:right="-1" w:hanging="567"/>
        <w:jc w:val="both"/>
        <w:rPr>
          <w:rFonts w:ascii="Tahoma" w:hAnsi="Tahoma" w:cs="Tahoma"/>
          <w:sz w:val="22"/>
          <w:szCs w:val="22"/>
        </w:rPr>
      </w:pPr>
      <w:r w:rsidRPr="00EE2532">
        <w:rPr>
          <w:rFonts w:ascii="Tahoma" w:hAnsi="Tahoma" w:cs="Tahoma"/>
          <w:sz w:val="22"/>
          <w:szCs w:val="22"/>
        </w:rPr>
        <w:t>Es materia del presente procedimiento administrativo sancionador, la supuesta responsabilidad de la Contratista</w:t>
      </w:r>
      <w:r w:rsidRPr="00EE2532">
        <w:rPr>
          <w:rFonts w:ascii="Tahoma" w:eastAsia="MS Mincho" w:hAnsi="Tahoma" w:cs="Tahoma"/>
          <w:sz w:val="22"/>
          <w:szCs w:val="22"/>
        </w:rPr>
        <w:t xml:space="preserve">, por haber dado lugar a la resolución de </w:t>
      </w:r>
      <w:r w:rsidRPr="00EE2532">
        <w:rPr>
          <w:rFonts w:ascii="Tahoma" w:hAnsi="Tahoma" w:cs="Tahoma"/>
          <w:sz w:val="22"/>
          <w:szCs w:val="22"/>
        </w:rPr>
        <w:t xml:space="preserve">Contrato de Adquisición de Bienes, derivado del ítem Nº 01 de la Exoneración Nº 0001-2009-MDH, infracción </w:t>
      </w:r>
      <w:r w:rsidRPr="00EE2532">
        <w:rPr>
          <w:rFonts w:ascii="Tahoma" w:eastAsia="MS Mincho" w:hAnsi="Tahoma" w:cs="Tahoma"/>
          <w:sz w:val="22"/>
          <w:szCs w:val="22"/>
        </w:rPr>
        <w:t xml:space="preserve">tipificada en el literal b) del numeral 51.1 del artículo 51 de la Ley de Contrataciones del Estado, aprobado mediante Decreto Legislativo Nº 1017, en adelante la Ley, y el literal b) del numeral 1 del artículo 237 del Reglamento de la Ley de Contrataciones del Estado, aprobado mediante Decreto Supremo Nº 184-2008-EF, en adelante el Reglamento, </w:t>
      </w:r>
      <w:r w:rsidRPr="00EE2532">
        <w:rPr>
          <w:rFonts w:ascii="Tahoma" w:hAnsi="Tahoma" w:cs="Tahoma"/>
          <w:sz w:val="22"/>
          <w:szCs w:val="22"/>
        </w:rPr>
        <w:t>normas vigentes al momento de suscitarse los hechos imputados.</w:t>
      </w:r>
    </w:p>
    <w:p w:rsidR="00FE1006" w:rsidRDefault="00FE1006" w:rsidP="00FE1006">
      <w:pPr>
        <w:ind w:left="567" w:right="-1"/>
        <w:jc w:val="both"/>
        <w:rPr>
          <w:rFonts w:ascii="Tahoma" w:hAnsi="Tahoma" w:cs="Tahoma"/>
          <w:sz w:val="22"/>
          <w:szCs w:val="22"/>
        </w:rPr>
      </w:pPr>
    </w:p>
    <w:p w:rsidR="00FE1006" w:rsidRDefault="00FE1006" w:rsidP="00FE1006">
      <w:pPr>
        <w:numPr>
          <w:ilvl w:val="0"/>
          <w:numId w:val="10"/>
        </w:numPr>
        <w:tabs>
          <w:tab w:val="clear" w:pos="454"/>
        </w:tabs>
        <w:ind w:left="567" w:right="-1" w:hanging="567"/>
        <w:jc w:val="both"/>
        <w:rPr>
          <w:rFonts w:ascii="Tahoma" w:hAnsi="Tahoma" w:cs="Tahoma"/>
          <w:sz w:val="22"/>
          <w:szCs w:val="22"/>
        </w:rPr>
      </w:pPr>
      <w:r w:rsidRPr="008527FE">
        <w:rPr>
          <w:rFonts w:ascii="Tahoma" w:hAnsi="Tahoma" w:cs="Tahoma"/>
          <w:sz w:val="22"/>
          <w:szCs w:val="22"/>
        </w:rPr>
        <w:t>Al respecto, dicha infracción establece como supuesto de hecho indispensable para su configuración, la resolución del contrato, orden de compra o de servicios, según corresponda, por causal atribuible al contratista.</w:t>
      </w:r>
    </w:p>
    <w:p w:rsidR="00FE1006" w:rsidRDefault="00FE1006" w:rsidP="00FE1006">
      <w:pPr>
        <w:ind w:right="-1"/>
        <w:jc w:val="both"/>
        <w:rPr>
          <w:rFonts w:ascii="Tahoma" w:hAnsi="Tahoma" w:cs="Tahoma"/>
          <w:sz w:val="22"/>
          <w:szCs w:val="22"/>
        </w:rPr>
      </w:pPr>
    </w:p>
    <w:p w:rsidR="00FE1006" w:rsidRDefault="00FE1006" w:rsidP="00FE1006">
      <w:pPr>
        <w:numPr>
          <w:ilvl w:val="0"/>
          <w:numId w:val="10"/>
        </w:numPr>
        <w:tabs>
          <w:tab w:val="clear" w:pos="454"/>
        </w:tabs>
        <w:ind w:left="567" w:right="-1" w:hanging="567"/>
        <w:jc w:val="both"/>
        <w:rPr>
          <w:rFonts w:ascii="Tahoma" w:hAnsi="Tahoma" w:cs="Tahoma"/>
          <w:sz w:val="22"/>
          <w:szCs w:val="22"/>
        </w:rPr>
      </w:pPr>
      <w:r w:rsidRPr="00E00A4D">
        <w:rPr>
          <w:rFonts w:ascii="Tahoma" w:hAnsi="Tahoma" w:cs="Tahoma"/>
          <w:sz w:val="22"/>
          <w:szCs w:val="22"/>
        </w:rPr>
        <w:t>En tal sentido, el artículo 168 del Reglamento dispone que la Entidad podrá resolver el contrato, de conformidad con el inciso c) del artículo 40 de la Ley cuando el contratista incumpla injustificadamente las obligaciones contractuales, legales o reglamentarias a su cargo, pese a haber sido requerido para ello.</w:t>
      </w:r>
    </w:p>
    <w:p w:rsidR="00FE1006" w:rsidRDefault="00FE1006" w:rsidP="00FE1006">
      <w:pPr>
        <w:pStyle w:val="Prrafodelista"/>
        <w:rPr>
          <w:rFonts w:ascii="Tahoma" w:hAnsi="Tahoma" w:cs="Tahoma"/>
          <w:sz w:val="22"/>
          <w:szCs w:val="22"/>
        </w:rPr>
      </w:pPr>
    </w:p>
    <w:p w:rsidR="00FE1006" w:rsidRDefault="00FE1006" w:rsidP="00FE1006">
      <w:pPr>
        <w:numPr>
          <w:ilvl w:val="0"/>
          <w:numId w:val="10"/>
        </w:numPr>
        <w:tabs>
          <w:tab w:val="clear" w:pos="454"/>
        </w:tabs>
        <w:ind w:left="567" w:right="-1" w:hanging="567"/>
        <w:jc w:val="both"/>
        <w:rPr>
          <w:rFonts w:ascii="Tahoma" w:hAnsi="Tahoma" w:cs="Tahoma"/>
          <w:sz w:val="22"/>
          <w:szCs w:val="22"/>
        </w:rPr>
      </w:pPr>
      <w:r w:rsidRPr="00E00A4D">
        <w:rPr>
          <w:rFonts w:ascii="Tahoma" w:hAnsi="Tahoma" w:cs="Tahoma"/>
          <w:sz w:val="22"/>
          <w:szCs w:val="22"/>
        </w:rPr>
        <w:t xml:space="preserve">El procedimiento de resolución contractual, cuya observancia es condición necesaria para evaluar la existencia de eventuales responsabilidades de carácter administrativo, se encuentra previsto en el artículo 169 del Reglamento, según el cual en caso de incumplimiento contractual de una de las partes involucradas, la parte que resulte perjudicada con tal hecho, requerirá a la otra notarialmente para que satisfaga sus obligaciones en un plazo no mayor de cinco días, bajo apercibimiento de resolver el contrato. Dependiendo del monto involucrado y de la complejidad, envergadura o sofisticación de la adquisición o contratación, la Entidad podrá establecer plazos mayores, los cuales no superarán en ningún caso los quince días. De continuar el incumplimiento contractual, la citada disposición reglamentaria precisa que la parte perjudicada comunicará notarialmente la resolución total o parcial del contrato. </w:t>
      </w:r>
    </w:p>
    <w:p w:rsidR="00FE1006" w:rsidRDefault="00FE1006" w:rsidP="00FE1006">
      <w:pPr>
        <w:pStyle w:val="Prrafodelista"/>
        <w:rPr>
          <w:rFonts w:ascii="Tahoma" w:hAnsi="Tahoma" w:cs="Tahoma"/>
          <w:sz w:val="22"/>
          <w:szCs w:val="22"/>
        </w:rPr>
      </w:pPr>
    </w:p>
    <w:p w:rsidR="00FE1006" w:rsidRDefault="00FE1006" w:rsidP="00FE1006">
      <w:pPr>
        <w:numPr>
          <w:ilvl w:val="0"/>
          <w:numId w:val="10"/>
        </w:numPr>
        <w:tabs>
          <w:tab w:val="clear" w:pos="454"/>
        </w:tabs>
        <w:ind w:left="567" w:right="-1" w:hanging="567"/>
        <w:jc w:val="both"/>
        <w:rPr>
          <w:rFonts w:ascii="Tahoma" w:hAnsi="Tahoma" w:cs="Tahoma"/>
          <w:sz w:val="22"/>
          <w:szCs w:val="22"/>
        </w:rPr>
      </w:pPr>
      <w:r w:rsidRPr="003829D5">
        <w:rPr>
          <w:rFonts w:ascii="Tahoma" w:hAnsi="Tahoma" w:cs="Tahoma"/>
          <w:sz w:val="22"/>
          <w:szCs w:val="22"/>
        </w:rPr>
        <w:t>Ahora bien, del examen de la documentación obrante en autos, se advierte que, a través de la Carta Notarial Nº 131, notificada vía notarial el 23 de junio de 2010, se comunicó a la Contratista que no ha cumplido con la entrega de la totalidad de los postes de concreto, crucetas de madera tratada, bloques de concreto y cajas de registro; por lo que de conformidad con el artículo 169 del Reglamento de la Ley de Contrataciones del Estado, se le requirió para que en un plazo no mayor de cinco (05) días, satisfaga sus obligaciones contractuales, bajo apercibimiento de resolver el contrato.</w:t>
      </w:r>
    </w:p>
    <w:p w:rsidR="00FE1006" w:rsidRDefault="00FE1006" w:rsidP="00FE1006">
      <w:pPr>
        <w:pStyle w:val="Prrafodelista"/>
        <w:rPr>
          <w:rFonts w:ascii="Tahoma" w:hAnsi="Tahoma" w:cs="Tahoma"/>
          <w:sz w:val="22"/>
          <w:szCs w:val="22"/>
        </w:rPr>
      </w:pPr>
    </w:p>
    <w:p w:rsidR="00FE1006" w:rsidRDefault="00FE1006" w:rsidP="00FE1006">
      <w:pPr>
        <w:numPr>
          <w:ilvl w:val="0"/>
          <w:numId w:val="10"/>
        </w:numPr>
        <w:tabs>
          <w:tab w:val="clear" w:pos="454"/>
        </w:tabs>
        <w:ind w:left="567" w:right="-1" w:hanging="567"/>
        <w:jc w:val="both"/>
        <w:rPr>
          <w:rFonts w:ascii="Tahoma" w:hAnsi="Tahoma" w:cs="Tahoma"/>
          <w:sz w:val="22"/>
          <w:szCs w:val="22"/>
        </w:rPr>
      </w:pPr>
      <w:r w:rsidRPr="003829D5">
        <w:rPr>
          <w:rFonts w:ascii="Tahoma" w:hAnsi="Tahoma" w:cs="Tahoma"/>
          <w:sz w:val="22"/>
          <w:szCs w:val="22"/>
        </w:rPr>
        <w:t xml:space="preserve">Al persistir el incumplimiento, </w:t>
      </w:r>
      <w:r>
        <w:rPr>
          <w:rFonts w:ascii="Tahoma" w:hAnsi="Tahoma" w:cs="Tahoma"/>
          <w:sz w:val="22"/>
          <w:szCs w:val="22"/>
        </w:rPr>
        <w:t>mediante</w:t>
      </w:r>
      <w:r w:rsidRPr="003829D5">
        <w:rPr>
          <w:rFonts w:ascii="Tahoma" w:hAnsi="Tahoma" w:cs="Tahoma"/>
          <w:sz w:val="22"/>
          <w:szCs w:val="22"/>
        </w:rPr>
        <w:t xml:space="preserve"> Carta Notarial Nº 317 notificada vía notarial el 21 de julio de 2010, se le</w:t>
      </w:r>
      <w:r>
        <w:rPr>
          <w:rFonts w:ascii="Tahoma" w:hAnsi="Tahoma" w:cs="Tahoma"/>
          <w:sz w:val="22"/>
          <w:szCs w:val="22"/>
        </w:rPr>
        <w:t xml:space="preserve"> notificó la Resolución de Alcal</w:t>
      </w:r>
      <w:r w:rsidRPr="003829D5">
        <w:rPr>
          <w:rFonts w:ascii="Tahoma" w:hAnsi="Tahoma" w:cs="Tahoma"/>
          <w:sz w:val="22"/>
          <w:szCs w:val="22"/>
        </w:rPr>
        <w:t>día Nº 022-2010-MDH-J-CAJ de fecha 12 de julio del 2010, mediante la cual se resolvió parcialmente el Contrato de Adquisición de Bienes, derivado del ítem Nº 01 de la Exoneración Nº 0001-2009-MDH.</w:t>
      </w:r>
    </w:p>
    <w:p w:rsidR="00FE1006" w:rsidRDefault="00FE1006" w:rsidP="00FE1006">
      <w:pPr>
        <w:pStyle w:val="Prrafodelista"/>
        <w:rPr>
          <w:rFonts w:ascii="Tahoma" w:hAnsi="Tahoma" w:cs="Tahoma"/>
          <w:sz w:val="22"/>
          <w:szCs w:val="22"/>
        </w:rPr>
      </w:pPr>
    </w:p>
    <w:p w:rsidR="00FE1006" w:rsidRPr="003829D5" w:rsidRDefault="00FE1006" w:rsidP="00FE1006">
      <w:pPr>
        <w:numPr>
          <w:ilvl w:val="0"/>
          <w:numId w:val="10"/>
        </w:numPr>
        <w:tabs>
          <w:tab w:val="clear" w:pos="454"/>
        </w:tabs>
        <w:ind w:left="567" w:right="-1" w:hanging="567"/>
        <w:jc w:val="both"/>
        <w:rPr>
          <w:rFonts w:ascii="Tahoma" w:hAnsi="Tahoma" w:cs="Tahoma"/>
          <w:sz w:val="22"/>
          <w:szCs w:val="22"/>
        </w:rPr>
      </w:pPr>
      <w:r w:rsidRPr="003829D5">
        <w:rPr>
          <w:rFonts w:ascii="Tahoma" w:hAnsi="Tahoma" w:cs="Tahoma"/>
          <w:sz w:val="22"/>
          <w:szCs w:val="22"/>
        </w:rPr>
        <w:t xml:space="preserve">En razón de lo expuesto, se ha acreditado que la Entidad requirió válidamente </w:t>
      </w:r>
      <w:r>
        <w:rPr>
          <w:rFonts w:ascii="Tahoma" w:hAnsi="Tahoma" w:cs="Tahoma"/>
          <w:sz w:val="22"/>
          <w:szCs w:val="22"/>
        </w:rPr>
        <w:t>a la Contratista</w:t>
      </w:r>
      <w:r w:rsidRPr="003829D5">
        <w:rPr>
          <w:rFonts w:ascii="Tahoma" w:hAnsi="Tahoma" w:cs="Tahoma"/>
          <w:sz w:val="22"/>
          <w:szCs w:val="22"/>
        </w:rPr>
        <w:t xml:space="preserve"> para que ejecute las prestaciones a su cargo, de acuerdo con el procedimiento previsto en el artículo 169 del Reglamento, con lo cual ha quedado resuelto de pleno derecho el contrato, tanto más, teniendo en consideración que según lo informa</w:t>
      </w:r>
      <w:r>
        <w:rPr>
          <w:rFonts w:ascii="Tahoma" w:hAnsi="Tahoma" w:cs="Tahoma"/>
          <w:sz w:val="22"/>
          <w:szCs w:val="22"/>
        </w:rPr>
        <w:t>do a esta instancia, la Contratista</w:t>
      </w:r>
      <w:r w:rsidRPr="003829D5">
        <w:rPr>
          <w:rFonts w:ascii="Tahoma" w:hAnsi="Tahoma" w:cs="Tahoma"/>
          <w:sz w:val="22"/>
          <w:szCs w:val="22"/>
        </w:rPr>
        <w:t xml:space="preserve"> no ha objetado sus efectos utilizando los mecanismos de solución de controversia, es decir conciliación y/o arbitraje.</w:t>
      </w:r>
    </w:p>
    <w:p w:rsidR="00FE1006" w:rsidRDefault="00FE1006" w:rsidP="00FE1006">
      <w:pPr>
        <w:pStyle w:val="Prrafodelista"/>
        <w:rPr>
          <w:rFonts w:ascii="Tahoma" w:hAnsi="Tahoma" w:cs="Tahoma"/>
          <w:sz w:val="22"/>
          <w:szCs w:val="22"/>
        </w:rPr>
      </w:pPr>
    </w:p>
    <w:p w:rsidR="00FE1006" w:rsidRDefault="00FE1006" w:rsidP="00FE1006">
      <w:pPr>
        <w:numPr>
          <w:ilvl w:val="0"/>
          <w:numId w:val="10"/>
        </w:numPr>
        <w:tabs>
          <w:tab w:val="clear" w:pos="454"/>
        </w:tabs>
        <w:ind w:left="567" w:right="-1" w:hanging="567"/>
        <w:jc w:val="both"/>
        <w:rPr>
          <w:rFonts w:ascii="Tahoma" w:hAnsi="Tahoma" w:cs="Tahoma"/>
          <w:sz w:val="22"/>
          <w:szCs w:val="22"/>
        </w:rPr>
      </w:pPr>
      <w:r w:rsidRPr="003F4AB7">
        <w:rPr>
          <w:rFonts w:ascii="Tahoma" w:hAnsi="Tahoma" w:cs="Tahoma"/>
          <w:sz w:val="22"/>
          <w:szCs w:val="22"/>
        </w:rPr>
        <w:t xml:space="preserve">En segundo lugar, corresponde a este Colegiado determinar si dicha conducta resultó justificada o no, en tanto que solamente el incumplimiento que obedece a causas injustificadas atribuibles a los contratistas es sancionable administrativamente, en estricta observancia del Principio de Tipicidad previsto en el artículo 230 de la Ley № 27444, Ley del Procedimiento Administrativo General, en cuya virtud sólo constituyen conductas sancionables administrativamente las infracciones previstas expresamente en normas con </w:t>
      </w:r>
      <w:r w:rsidRPr="003F4AB7">
        <w:rPr>
          <w:rFonts w:ascii="Tahoma" w:hAnsi="Tahoma" w:cs="Tahoma"/>
          <w:sz w:val="22"/>
          <w:szCs w:val="22"/>
        </w:rPr>
        <w:lastRenderedPageBreak/>
        <w:t>rango de ley mediante su tipificación como tales, sin admitir interpretación extensiva o por analogía.</w:t>
      </w:r>
    </w:p>
    <w:p w:rsidR="00FE1006" w:rsidRDefault="00FE1006" w:rsidP="00FE1006">
      <w:pPr>
        <w:pStyle w:val="Prrafodelista"/>
        <w:rPr>
          <w:rFonts w:ascii="Tahoma" w:hAnsi="Tahoma" w:cs="Tahoma"/>
          <w:sz w:val="22"/>
          <w:szCs w:val="22"/>
        </w:rPr>
      </w:pPr>
    </w:p>
    <w:p w:rsidR="00FE1006" w:rsidRDefault="00FE1006" w:rsidP="00FE1006">
      <w:pPr>
        <w:numPr>
          <w:ilvl w:val="0"/>
          <w:numId w:val="10"/>
        </w:numPr>
        <w:tabs>
          <w:tab w:val="clear" w:pos="454"/>
        </w:tabs>
        <w:ind w:left="567" w:right="-1" w:hanging="567"/>
        <w:jc w:val="both"/>
        <w:rPr>
          <w:rFonts w:ascii="Tahoma" w:hAnsi="Tahoma" w:cs="Tahoma"/>
          <w:sz w:val="22"/>
          <w:szCs w:val="22"/>
        </w:rPr>
      </w:pPr>
      <w:r w:rsidRPr="003F4AB7">
        <w:rPr>
          <w:rFonts w:ascii="Tahoma" w:hAnsi="Tahoma" w:cs="Tahoma"/>
          <w:sz w:val="22"/>
          <w:szCs w:val="22"/>
        </w:rPr>
        <w:t>En ese sentido, cabe anotar que existe una presunción legal de que el incumplimiento de obligaciones o su cumplimiento parcial, tardío o defectuoso, es atribuible a la parte que debió ejecutarlas, salvo que ésta demuestre que el incumplimiento se produjo, a pesar de haber actuado con la diligencia ordinaria exigida por la naturaleza de la prestación, o que la causa de ella fue un caso fortuito o fuerza mayor</w:t>
      </w:r>
      <w:r w:rsidRPr="0019114C">
        <w:rPr>
          <w:rStyle w:val="Refdenotaalpie"/>
          <w:rFonts w:ascii="Tahoma" w:hAnsi="Tahoma" w:cs="Tahoma"/>
          <w:sz w:val="22"/>
          <w:szCs w:val="22"/>
        </w:rPr>
        <w:footnoteReference w:id="2"/>
      </w:r>
      <w:r w:rsidRPr="003F4AB7">
        <w:rPr>
          <w:rFonts w:ascii="Tahoma" w:hAnsi="Tahoma" w:cs="Tahoma"/>
          <w:sz w:val="22"/>
          <w:szCs w:val="22"/>
        </w:rPr>
        <w:t>.</w:t>
      </w:r>
    </w:p>
    <w:p w:rsidR="00FE1006" w:rsidRDefault="00FE1006" w:rsidP="00FE1006">
      <w:pPr>
        <w:pStyle w:val="Prrafodelista"/>
        <w:rPr>
          <w:rFonts w:ascii="Tahoma" w:hAnsi="Tahoma" w:cs="Tahoma"/>
          <w:sz w:val="22"/>
          <w:szCs w:val="22"/>
        </w:rPr>
      </w:pPr>
    </w:p>
    <w:p w:rsidR="00FE1006" w:rsidRDefault="00FE1006" w:rsidP="00FE1006">
      <w:pPr>
        <w:numPr>
          <w:ilvl w:val="0"/>
          <w:numId w:val="10"/>
        </w:numPr>
        <w:tabs>
          <w:tab w:val="clear" w:pos="454"/>
        </w:tabs>
        <w:ind w:left="567" w:right="-1" w:hanging="567"/>
        <w:jc w:val="both"/>
        <w:rPr>
          <w:rFonts w:ascii="Tahoma" w:hAnsi="Tahoma" w:cs="Tahoma"/>
          <w:sz w:val="22"/>
          <w:szCs w:val="22"/>
        </w:rPr>
      </w:pPr>
      <w:r w:rsidRPr="003F4AB7">
        <w:rPr>
          <w:rFonts w:ascii="Tahoma" w:hAnsi="Tahoma" w:cs="Tahoma"/>
          <w:sz w:val="22"/>
          <w:szCs w:val="22"/>
        </w:rPr>
        <w:t>Sin embargo, es preciso tener en cuenta que</w:t>
      </w:r>
      <w:r>
        <w:rPr>
          <w:rFonts w:ascii="Tahoma" w:hAnsi="Tahoma" w:cs="Tahoma"/>
          <w:sz w:val="22"/>
          <w:szCs w:val="22"/>
        </w:rPr>
        <w:t xml:space="preserve"> la Contratista </w:t>
      </w:r>
      <w:r w:rsidRPr="003F4AB7">
        <w:rPr>
          <w:rFonts w:ascii="Tahoma" w:hAnsi="Tahoma" w:cs="Tahoma"/>
          <w:sz w:val="22"/>
          <w:szCs w:val="22"/>
        </w:rPr>
        <w:t>no ha formulado sus descargos, a pesar de haber sido debidamente not</w:t>
      </w:r>
      <w:r>
        <w:rPr>
          <w:rFonts w:ascii="Tahoma" w:hAnsi="Tahoma" w:cs="Tahoma"/>
          <w:sz w:val="22"/>
          <w:szCs w:val="22"/>
        </w:rPr>
        <w:t>ificado mediante Cédula Nº 27749</w:t>
      </w:r>
      <w:r w:rsidRPr="003F4AB7">
        <w:rPr>
          <w:rFonts w:ascii="Tahoma" w:hAnsi="Tahoma" w:cs="Tahoma"/>
          <w:sz w:val="22"/>
          <w:szCs w:val="22"/>
        </w:rPr>
        <w:t>/2010.TC</w:t>
      </w:r>
      <w:r>
        <w:rPr>
          <w:rStyle w:val="Refdenotaalpie"/>
          <w:rFonts w:ascii="Tahoma" w:hAnsi="Tahoma"/>
          <w:sz w:val="22"/>
          <w:szCs w:val="22"/>
        </w:rPr>
        <w:footnoteReference w:id="3"/>
      </w:r>
      <w:r>
        <w:rPr>
          <w:rFonts w:ascii="Tahoma" w:hAnsi="Tahoma" w:cs="Tahoma"/>
          <w:sz w:val="22"/>
          <w:szCs w:val="22"/>
        </w:rPr>
        <w:t>, según cargo que obra</w:t>
      </w:r>
      <w:r w:rsidRPr="003F4AB7">
        <w:rPr>
          <w:rFonts w:ascii="Tahoma" w:hAnsi="Tahoma" w:cs="Tahoma"/>
          <w:sz w:val="22"/>
          <w:szCs w:val="22"/>
        </w:rPr>
        <w:t xml:space="preserve"> en autos.</w:t>
      </w:r>
    </w:p>
    <w:p w:rsidR="00FE1006" w:rsidRDefault="00FE1006" w:rsidP="00FE1006">
      <w:pPr>
        <w:pStyle w:val="Prrafodelista"/>
        <w:rPr>
          <w:rFonts w:ascii="Tahoma" w:hAnsi="Tahoma" w:cs="Tahoma"/>
          <w:sz w:val="22"/>
          <w:szCs w:val="22"/>
        </w:rPr>
      </w:pPr>
    </w:p>
    <w:p w:rsidR="00FE1006" w:rsidRDefault="00FE1006" w:rsidP="00FE1006">
      <w:pPr>
        <w:numPr>
          <w:ilvl w:val="0"/>
          <w:numId w:val="10"/>
        </w:numPr>
        <w:tabs>
          <w:tab w:val="clear" w:pos="454"/>
        </w:tabs>
        <w:ind w:left="567" w:right="-1" w:hanging="567"/>
        <w:jc w:val="both"/>
        <w:rPr>
          <w:rFonts w:ascii="Tahoma" w:hAnsi="Tahoma" w:cs="Tahoma"/>
          <w:sz w:val="22"/>
          <w:szCs w:val="22"/>
        </w:rPr>
      </w:pPr>
      <w:r w:rsidRPr="003F4AB7">
        <w:rPr>
          <w:rFonts w:ascii="Tahoma" w:hAnsi="Tahoma" w:cs="Tahoma"/>
          <w:sz w:val="22"/>
          <w:szCs w:val="22"/>
        </w:rPr>
        <w:t>Por lo expuesto, atendiendo que no obra en el expediente medio probatorio que justifiquen el incumplimiento de las obligaciones a cargo de</w:t>
      </w:r>
      <w:r>
        <w:rPr>
          <w:rFonts w:ascii="Tahoma" w:hAnsi="Tahoma" w:cs="Tahoma"/>
          <w:sz w:val="22"/>
          <w:szCs w:val="22"/>
        </w:rPr>
        <w:t xml:space="preserve"> la Contratista</w:t>
      </w:r>
      <w:r w:rsidRPr="003F4AB7">
        <w:rPr>
          <w:rFonts w:ascii="Tahoma" w:hAnsi="Tahoma" w:cs="Tahoma"/>
          <w:sz w:val="22"/>
          <w:szCs w:val="22"/>
        </w:rPr>
        <w:t xml:space="preserve">; este Tribunal considera que corresponde imponerle sanción administrativa por haber incurrido en la causal prevista en el </w:t>
      </w:r>
      <w:r w:rsidRPr="003F4AB7">
        <w:rPr>
          <w:rFonts w:ascii="Tahoma" w:eastAsia="MS Mincho" w:hAnsi="Tahoma" w:cs="Tahoma"/>
          <w:sz w:val="22"/>
          <w:szCs w:val="22"/>
        </w:rPr>
        <w:t>literal b) del numeral 51.1 del artículo 51 de la Ley y el literal b) del numeral 1 del artículo 237 del Reglamento</w:t>
      </w:r>
      <w:r w:rsidRPr="003F4AB7">
        <w:rPr>
          <w:rFonts w:ascii="Tahoma" w:hAnsi="Tahoma" w:cs="Tahoma"/>
          <w:sz w:val="22"/>
          <w:szCs w:val="22"/>
        </w:rPr>
        <w:t xml:space="preserve">. </w:t>
      </w:r>
    </w:p>
    <w:p w:rsidR="00FE1006" w:rsidRDefault="00FE1006" w:rsidP="00FE1006">
      <w:pPr>
        <w:pStyle w:val="Prrafodelista"/>
        <w:rPr>
          <w:rFonts w:ascii="Tahoma" w:hAnsi="Tahoma" w:cs="Tahoma"/>
          <w:sz w:val="22"/>
          <w:szCs w:val="22"/>
        </w:rPr>
      </w:pPr>
    </w:p>
    <w:p w:rsidR="00FE1006" w:rsidRPr="006F28AF" w:rsidRDefault="00FE1006" w:rsidP="00FE1006">
      <w:pPr>
        <w:numPr>
          <w:ilvl w:val="0"/>
          <w:numId w:val="10"/>
        </w:numPr>
        <w:tabs>
          <w:tab w:val="clear" w:pos="454"/>
        </w:tabs>
        <w:ind w:left="567" w:right="-1" w:hanging="567"/>
        <w:jc w:val="both"/>
        <w:rPr>
          <w:rFonts w:ascii="Tahoma" w:hAnsi="Tahoma" w:cs="Tahoma"/>
          <w:sz w:val="22"/>
          <w:szCs w:val="22"/>
        </w:rPr>
      </w:pPr>
      <w:r>
        <w:rPr>
          <w:rFonts w:ascii="Tahoma" w:hAnsi="Tahoma" w:cs="Tahoma"/>
          <w:sz w:val="22"/>
          <w:szCs w:val="22"/>
        </w:rPr>
        <w:t xml:space="preserve">Ahora bien, el </w:t>
      </w:r>
      <w:r w:rsidRPr="006F28AF">
        <w:rPr>
          <w:rFonts w:ascii="Tahoma" w:hAnsi="Tahoma" w:cs="Tahoma"/>
          <w:sz w:val="22"/>
          <w:szCs w:val="22"/>
        </w:rPr>
        <w:t xml:space="preserve">artículo 237 </w:t>
      </w:r>
      <w:r>
        <w:rPr>
          <w:rFonts w:ascii="Tahoma" w:eastAsia="MS Mincho" w:hAnsi="Tahoma" w:cs="Tahoma"/>
          <w:sz w:val="22"/>
          <w:szCs w:val="22"/>
        </w:rPr>
        <w:t>del Reglamento</w:t>
      </w:r>
      <w:r w:rsidRPr="006F28AF">
        <w:rPr>
          <w:rFonts w:ascii="Tahoma" w:eastAsia="MS Mincho" w:hAnsi="Tahoma" w:cs="Tahoma"/>
          <w:sz w:val="22"/>
          <w:szCs w:val="22"/>
        </w:rPr>
        <w:t xml:space="preserve"> </w:t>
      </w:r>
      <w:r w:rsidRPr="006F28AF">
        <w:rPr>
          <w:rFonts w:ascii="Tahoma" w:hAnsi="Tahoma" w:cs="Tahoma"/>
          <w:sz w:val="22"/>
          <w:szCs w:val="22"/>
        </w:rPr>
        <w:t xml:space="preserve">establece que los proveedores, participantes, postores o contratistas que incurran en las causales establecidas en los literales a), b), c), d) e), f) h), i), j y k) serán sancionados con inhabilitación temporal para contratar con el Estado por un período no menor a un (1) año ni mayor de tres (3) años. </w:t>
      </w:r>
    </w:p>
    <w:p w:rsidR="00FE1006" w:rsidRPr="0019114C" w:rsidRDefault="00FE1006" w:rsidP="00FE1006">
      <w:pPr>
        <w:jc w:val="both"/>
        <w:rPr>
          <w:rFonts w:ascii="Tahoma" w:hAnsi="Tahoma" w:cs="Tahoma"/>
          <w:sz w:val="22"/>
          <w:szCs w:val="22"/>
        </w:rPr>
      </w:pPr>
    </w:p>
    <w:p w:rsidR="00FE1006" w:rsidRPr="0019114C" w:rsidRDefault="00FE1006" w:rsidP="00FE1006">
      <w:pPr>
        <w:ind w:left="567"/>
        <w:jc w:val="both"/>
        <w:rPr>
          <w:rFonts w:ascii="Tahoma" w:hAnsi="Tahoma" w:cs="Tahoma"/>
          <w:sz w:val="22"/>
          <w:szCs w:val="22"/>
        </w:rPr>
      </w:pPr>
      <w:r w:rsidRPr="0019114C">
        <w:rPr>
          <w:rFonts w:ascii="Tahoma" w:hAnsi="Tahoma" w:cs="Tahoma"/>
          <w:sz w:val="22"/>
          <w:szCs w:val="22"/>
        </w:rPr>
        <w:t>Asimismo, la sanción que se impondrá deberá ser graduada dentro de los límites dispuestos en dicho artículo 237, para lo cual deberá tenerse en cuenta lo dispuesto por el artículo 245</w:t>
      </w:r>
      <w:r w:rsidRPr="0019114C">
        <w:rPr>
          <w:rStyle w:val="Refdenotaalpie"/>
          <w:rFonts w:ascii="Tahoma" w:eastAsia="Batang" w:hAnsi="Tahoma" w:cs="Tahoma"/>
          <w:sz w:val="22"/>
          <w:szCs w:val="22"/>
        </w:rPr>
        <w:footnoteReference w:id="4"/>
      </w:r>
      <w:r w:rsidRPr="0019114C">
        <w:rPr>
          <w:rFonts w:ascii="Tahoma" w:hAnsi="Tahoma" w:cs="Tahoma"/>
          <w:sz w:val="22"/>
          <w:szCs w:val="22"/>
        </w:rPr>
        <w:t xml:space="preserve"> del Reglamento.</w:t>
      </w:r>
    </w:p>
    <w:p w:rsidR="00FE1006" w:rsidRDefault="00FE1006" w:rsidP="00FE1006">
      <w:pPr>
        <w:pStyle w:val="Prrafodelista"/>
        <w:jc w:val="both"/>
        <w:rPr>
          <w:rFonts w:ascii="Tahoma" w:hAnsi="Tahoma" w:cs="Tahoma"/>
          <w:sz w:val="22"/>
          <w:szCs w:val="22"/>
        </w:rPr>
      </w:pPr>
    </w:p>
    <w:p w:rsidR="00FE1006" w:rsidRDefault="00FE1006" w:rsidP="00FE1006">
      <w:pPr>
        <w:numPr>
          <w:ilvl w:val="0"/>
          <w:numId w:val="10"/>
        </w:numPr>
        <w:tabs>
          <w:tab w:val="clear" w:pos="454"/>
        </w:tabs>
        <w:ind w:left="567" w:right="-1" w:hanging="567"/>
        <w:jc w:val="both"/>
        <w:rPr>
          <w:rFonts w:ascii="Tahoma" w:hAnsi="Tahoma" w:cs="Tahoma"/>
          <w:sz w:val="22"/>
          <w:szCs w:val="22"/>
        </w:rPr>
      </w:pPr>
      <w:r w:rsidRPr="003F4AB7">
        <w:rPr>
          <w:rFonts w:ascii="Tahoma" w:hAnsi="Tahoma" w:cs="Tahoma"/>
          <w:sz w:val="22"/>
          <w:szCs w:val="22"/>
        </w:rPr>
        <w:t>Atendiendo a dichos criterios, en lo que concierne a la naturaleza de la infracción, es importante señalar que la conducta denunciada reviste una considerable gravedad en la m</w:t>
      </w:r>
      <w:r>
        <w:rPr>
          <w:rFonts w:ascii="Tahoma" w:hAnsi="Tahoma" w:cs="Tahoma"/>
          <w:sz w:val="22"/>
          <w:szCs w:val="22"/>
        </w:rPr>
        <w:t xml:space="preserve">edida que desde el momento que </w:t>
      </w:r>
      <w:r w:rsidRPr="003F4AB7">
        <w:rPr>
          <w:rFonts w:ascii="Tahoma" w:hAnsi="Tahoma" w:cs="Tahoma"/>
          <w:sz w:val="22"/>
          <w:szCs w:val="22"/>
        </w:rPr>
        <w:t>l</w:t>
      </w:r>
      <w:r>
        <w:rPr>
          <w:rFonts w:ascii="Tahoma" w:hAnsi="Tahoma" w:cs="Tahoma"/>
          <w:sz w:val="22"/>
          <w:szCs w:val="22"/>
        </w:rPr>
        <w:t>a</w:t>
      </w:r>
      <w:r w:rsidRPr="003F4AB7">
        <w:rPr>
          <w:rFonts w:ascii="Tahoma" w:hAnsi="Tahoma" w:cs="Tahoma"/>
          <w:sz w:val="22"/>
          <w:szCs w:val="22"/>
        </w:rPr>
        <w:t xml:space="preserve"> </w:t>
      </w:r>
      <w:r>
        <w:rPr>
          <w:rFonts w:ascii="Tahoma" w:hAnsi="Tahoma" w:cs="Tahoma"/>
          <w:sz w:val="22"/>
          <w:szCs w:val="22"/>
        </w:rPr>
        <w:t>Contratista</w:t>
      </w:r>
      <w:r w:rsidRPr="003F4AB7">
        <w:rPr>
          <w:rFonts w:ascii="Tahoma" w:hAnsi="Tahoma" w:cs="Tahoma"/>
          <w:sz w:val="22"/>
          <w:szCs w:val="22"/>
        </w:rPr>
        <w:t xml:space="preserve"> asumió un compromiso contractual frente a la Entidad, se encontraba llamado a cumplir cabalmente lo ofrecido, máxime si es conocido que ante un eventual incumplimiento se verían seriamente afectados intereses de carácter público así como retrasado el cumplimiento de las metas institucionales de la Entidad.</w:t>
      </w:r>
    </w:p>
    <w:p w:rsidR="00FE1006" w:rsidRDefault="00FE1006" w:rsidP="00FE1006">
      <w:pPr>
        <w:ind w:left="567" w:right="-1"/>
        <w:jc w:val="both"/>
        <w:rPr>
          <w:rFonts w:ascii="Tahoma" w:hAnsi="Tahoma" w:cs="Tahoma"/>
          <w:sz w:val="22"/>
          <w:szCs w:val="22"/>
        </w:rPr>
      </w:pPr>
    </w:p>
    <w:p w:rsidR="00FE1006" w:rsidRDefault="00FE1006" w:rsidP="00FE1006">
      <w:pPr>
        <w:numPr>
          <w:ilvl w:val="0"/>
          <w:numId w:val="10"/>
        </w:numPr>
        <w:tabs>
          <w:tab w:val="clear" w:pos="454"/>
        </w:tabs>
        <w:ind w:left="567" w:right="-1" w:hanging="567"/>
        <w:jc w:val="both"/>
        <w:rPr>
          <w:rFonts w:ascii="Tahoma" w:hAnsi="Tahoma" w:cs="Tahoma"/>
          <w:sz w:val="22"/>
          <w:szCs w:val="22"/>
        </w:rPr>
      </w:pPr>
      <w:r w:rsidRPr="00D75585">
        <w:rPr>
          <w:rFonts w:ascii="Tahoma" w:hAnsi="Tahoma" w:cs="Tahoma"/>
          <w:sz w:val="22"/>
          <w:szCs w:val="22"/>
        </w:rPr>
        <w:t>Asimismo, respecto de la conducta procesal, conviene precisar que durante la sustanciación del presente procedimiento administrativo sancionador, no se han presentado los descargos dentro del plazo concedido, situación que se mantiene hasta la fecha de emisión de la presente resolución.</w:t>
      </w:r>
      <w:r w:rsidRPr="00D75585">
        <w:rPr>
          <w:rFonts w:ascii="Tahoma" w:hAnsi="Tahoma" w:cs="Tahoma"/>
          <w:sz w:val="22"/>
          <w:szCs w:val="22"/>
          <w:lang w:eastAsia="es-PE"/>
        </w:rPr>
        <w:t xml:space="preserve"> </w:t>
      </w:r>
    </w:p>
    <w:p w:rsidR="00FE1006" w:rsidRDefault="00FE1006" w:rsidP="00FE1006">
      <w:pPr>
        <w:pStyle w:val="Prrafodelista"/>
        <w:rPr>
          <w:rFonts w:ascii="Tahoma" w:hAnsi="Tahoma" w:cs="Tahoma"/>
          <w:sz w:val="22"/>
          <w:szCs w:val="22"/>
        </w:rPr>
      </w:pPr>
    </w:p>
    <w:p w:rsidR="00FE1006" w:rsidRPr="00C85C6E" w:rsidRDefault="00FE1006" w:rsidP="00FE1006">
      <w:pPr>
        <w:numPr>
          <w:ilvl w:val="0"/>
          <w:numId w:val="10"/>
        </w:numPr>
        <w:tabs>
          <w:tab w:val="clear" w:pos="454"/>
        </w:tabs>
        <w:ind w:left="567" w:hanging="567"/>
        <w:jc w:val="both"/>
        <w:rPr>
          <w:rFonts w:ascii="Tahoma" w:hAnsi="Tahoma" w:cs="Tahoma"/>
          <w:sz w:val="22"/>
          <w:szCs w:val="22"/>
        </w:rPr>
      </w:pPr>
      <w:r>
        <w:rPr>
          <w:rFonts w:ascii="Tahoma" w:hAnsi="Tahoma" w:cs="Tahoma"/>
          <w:sz w:val="22"/>
          <w:szCs w:val="22"/>
        </w:rPr>
        <w:t xml:space="preserve">Así también, se debe señalar que </w:t>
      </w:r>
      <w:r w:rsidRPr="006844A9">
        <w:rPr>
          <w:rFonts w:ascii="Tahoma" w:hAnsi="Tahoma" w:cs="Tahoma"/>
          <w:sz w:val="22"/>
          <w:szCs w:val="22"/>
        </w:rPr>
        <w:t>obra a favor de</w:t>
      </w:r>
      <w:r>
        <w:rPr>
          <w:rFonts w:ascii="Tahoma" w:hAnsi="Tahoma" w:cs="Tahoma"/>
          <w:sz w:val="22"/>
          <w:szCs w:val="22"/>
        </w:rPr>
        <w:t>l Contratista</w:t>
      </w:r>
      <w:r w:rsidRPr="006844A9">
        <w:rPr>
          <w:rFonts w:ascii="Tahoma" w:hAnsi="Tahoma" w:cs="Tahoma"/>
          <w:sz w:val="22"/>
          <w:szCs w:val="22"/>
          <w:lang w:val="es-PE"/>
        </w:rPr>
        <w:t>,</w:t>
      </w:r>
      <w:r w:rsidRPr="006844A9">
        <w:rPr>
          <w:rFonts w:ascii="Tahoma" w:hAnsi="Tahoma" w:cs="Tahoma"/>
          <w:sz w:val="22"/>
          <w:szCs w:val="22"/>
        </w:rPr>
        <w:t xml:space="preserve"> el elemento atenuante consistente en la ausencia de antecedentes en la comisión de infracciones.</w:t>
      </w:r>
    </w:p>
    <w:p w:rsidR="00FE1006" w:rsidRDefault="00FE1006" w:rsidP="00FE1006">
      <w:pPr>
        <w:pStyle w:val="Prrafodelista"/>
        <w:rPr>
          <w:rFonts w:ascii="Tahoma" w:hAnsi="Tahoma" w:cs="Tahoma"/>
          <w:sz w:val="22"/>
          <w:szCs w:val="22"/>
        </w:rPr>
      </w:pPr>
    </w:p>
    <w:p w:rsidR="00FE1006" w:rsidRPr="00DA70F7" w:rsidRDefault="00FE1006" w:rsidP="00FE1006">
      <w:pPr>
        <w:numPr>
          <w:ilvl w:val="0"/>
          <w:numId w:val="10"/>
        </w:numPr>
        <w:tabs>
          <w:tab w:val="clear" w:pos="454"/>
        </w:tabs>
        <w:ind w:left="567" w:right="-1" w:hanging="567"/>
        <w:jc w:val="both"/>
        <w:rPr>
          <w:rFonts w:ascii="Tahoma" w:hAnsi="Tahoma" w:cs="Tahoma"/>
          <w:color w:val="000000" w:themeColor="text1"/>
          <w:sz w:val="22"/>
          <w:szCs w:val="22"/>
        </w:rPr>
      </w:pPr>
      <w:r w:rsidRPr="00DA70F7">
        <w:rPr>
          <w:rFonts w:ascii="Tahoma" w:hAnsi="Tahoma" w:cs="Tahoma"/>
          <w:sz w:val="22"/>
          <w:szCs w:val="22"/>
        </w:rPr>
        <w:t xml:space="preserve">Finalmente, resulta importante traer a colación el </w:t>
      </w:r>
      <w:r w:rsidRPr="00DA70F7">
        <w:rPr>
          <w:rFonts w:ascii="Tahoma" w:hAnsi="Tahoma" w:cs="Tahoma"/>
          <w:i/>
          <w:sz w:val="22"/>
          <w:szCs w:val="22"/>
        </w:rPr>
        <w:t>Principio de Razonabilidad</w:t>
      </w:r>
      <w:r w:rsidRPr="00DA70F7">
        <w:rPr>
          <w:rFonts w:ascii="Tahoma" w:hAnsi="Tahoma" w:cs="Tahoma"/>
          <w:sz w:val="22"/>
          <w:szCs w:val="22"/>
        </w:rPr>
        <w:t xml:space="preserve"> consagrado en el numeral 3 del artículo 230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w:t>
      </w:r>
    </w:p>
    <w:p w:rsidR="00FE1006" w:rsidRDefault="00FE1006" w:rsidP="00FE1006">
      <w:pPr>
        <w:pStyle w:val="Prrafodelista"/>
        <w:rPr>
          <w:rFonts w:ascii="Tahoma" w:hAnsi="Tahoma" w:cs="Tahoma"/>
          <w:color w:val="000000" w:themeColor="text1"/>
          <w:sz w:val="22"/>
          <w:szCs w:val="22"/>
        </w:rPr>
      </w:pPr>
    </w:p>
    <w:p w:rsidR="00FE1006" w:rsidRPr="00DA70F7" w:rsidRDefault="00FE1006" w:rsidP="00FE1006">
      <w:pPr>
        <w:numPr>
          <w:ilvl w:val="0"/>
          <w:numId w:val="10"/>
        </w:numPr>
        <w:tabs>
          <w:tab w:val="clear" w:pos="454"/>
        </w:tabs>
        <w:ind w:left="567" w:right="-1" w:hanging="567"/>
        <w:jc w:val="both"/>
        <w:rPr>
          <w:rFonts w:ascii="Tahoma" w:hAnsi="Tahoma" w:cs="Tahoma"/>
          <w:color w:val="000000" w:themeColor="text1"/>
          <w:sz w:val="22"/>
          <w:szCs w:val="22"/>
        </w:rPr>
      </w:pPr>
      <w:r w:rsidRPr="00DA70F7">
        <w:rPr>
          <w:rFonts w:ascii="Tahoma" w:hAnsi="Tahoma" w:cs="Tahoma"/>
          <w:sz w:val="22"/>
          <w:szCs w:val="22"/>
        </w:rPr>
        <w:t xml:space="preserve">Por lo antes expuesto, sin que medien circunstancias adicionales que permitan atenuar la responsabilidad de </w:t>
      </w:r>
      <w:r>
        <w:rPr>
          <w:rFonts w:ascii="Tahoma" w:hAnsi="Tahoma" w:cs="Tahoma"/>
          <w:sz w:val="22"/>
          <w:szCs w:val="22"/>
        </w:rPr>
        <w:t>la Contratista</w:t>
      </w:r>
      <w:r w:rsidRPr="00DA70F7">
        <w:rPr>
          <w:rFonts w:ascii="Tahoma" w:hAnsi="Tahoma" w:cs="Tahoma"/>
          <w:sz w:val="22"/>
          <w:szCs w:val="22"/>
        </w:rPr>
        <w:t xml:space="preserve">, corresponde imponerle </w:t>
      </w:r>
      <w:r w:rsidRPr="00DA70F7">
        <w:rPr>
          <w:rFonts w:ascii="Tahoma" w:eastAsia="MS Mincho" w:hAnsi="Tahoma" w:cs="Tahoma"/>
          <w:sz w:val="22"/>
          <w:szCs w:val="22"/>
        </w:rPr>
        <w:t>la</w:t>
      </w:r>
      <w:r w:rsidRPr="00DA70F7">
        <w:rPr>
          <w:rFonts w:ascii="Tahoma" w:hAnsi="Tahoma" w:cs="Tahoma"/>
          <w:sz w:val="22"/>
          <w:szCs w:val="22"/>
        </w:rPr>
        <w:t xml:space="preserve"> sanción administrativa de inhabilitación temporal en sus derechos para participar en procesos de selección y contratar con el Estado, por el p</w:t>
      </w:r>
      <w:r>
        <w:rPr>
          <w:rFonts w:ascii="Tahoma" w:hAnsi="Tahoma" w:cs="Tahoma"/>
          <w:sz w:val="22"/>
          <w:szCs w:val="22"/>
        </w:rPr>
        <w:t>eriodo de doce (12</w:t>
      </w:r>
      <w:r w:rsidRPr="00DA70F7">
        <w:rPr>
          <w:rFonts w:ascii="Tahoma" w:hAnsi="Tahoma" w:cs="Tahoma"/>
          <w:sz w:val="22"/>
          <w:szCs w:val="22"/>
        </w:rPr>
        <w:t>) meses</w:t>
      </w:r>
      <w:r>
        <w:rPr>
          <w:rFonts w:ascii="Tahoma" w:hAnsi="Tahoma" w:cs="Tahoma"/>
          <w:sz w:val="22"/>
          <w:szCs w:val="22"/>
        </w:rPr>
        <w:t>.</w:t>
      </w:r>
    </w:p>
    <w:p w:rsidR="00FE1006" w:rsidRPr="002946CC" w:rsidRDefault="00FE1006" w:rsidP="00FE1006">
      <w:pPr>
        <w:jc w:val="both"/>
        <w:rPr>
          <w:rFonts w:ascii="Tahoma" w:hAnsi="Tahoma" w:cs="Tahoma"/>
          <w:sz w:val="23"/>
          <w:szCs w:val="23"/>
          <w:lang w:val="es-PE"/>
        </w:rPr>
      </w:pPr>
    </w:p>
    <w:p w:rsidR="00FE1006" w:rsidRPr="002946CC" w:rsidRDefault="00FE1006" w:rsidP="00FE1006">
      <w:pPr>
        <w:ind w:firstLine="567"/>
        <w:jc w:val="both"/>
        <w:rPr>
          <w:rFonts w:ascii="Tahoma" w:eastAsia="Calibri" w:hAnsi="Tahoma" w:cs="Tahoma"/>
          <w:color w:val="000000"/>
          <w:sz w:val="23"/>
          <w:szCs w:val="23"/>
        </w:rPr>
      </w:pPr>
      <w:r w:rsidRPr="002946CC">
        <w:rPr>
          <w:rFonts w:ascii="Tahoma" w:eastAsia="Calibri" w:hAnsi="Tahoma" w:cs="Tahoma"/>
          <w:color w:val="000000"/>
          <w:sz w:val="23"/>
          <w:szCs w:val="23"/>
        </w:rPr>
        <w:t>Por estos fundamentos, de conformidad con el informe de la Vocal Ponente Dra. Ada Rosa Basulto Liewald y la intervención de los Señores Vocales Dra. Janette Elke Ramírez Maynetto y Dr. Carlos Fernando Fonseca Oliveira; atendiendo a la conformación de la Primera Sala del Tribunal de Contrataciones del Estado según lo dispuesto en la Resolución Nº 190-2010-OSCE/PRE de fecha 29 de marzo de 2010, en ejercicio de las facultades conferidas en el artículo 63º de la Ley de Contrataciones del Estado, aprobado por Decreto Legislativo Nº 1017, y su segunda disposición complementaria transitoria, así como los artículos 17º y 18º del Reglamento de Organización y Funciones del OSCE, aprobado por Decreto Supremo Nº 006-2009-EF; analizados los antecedentes y luego de agotado el debate correspondiente, por unanimidad</w:t>
      </w:r>
    </w:p>
    <w:p w:rsidR="00FE1006" w:rsidRPr="002946CC" w:rsidRDefault="00FE1006" w:rsidP="00FE1006">
      <w:pPr>
        <w:ind w:firstLine="426"/>
        <w:jc w:val="both"/>
        <w:rPr>
          <w:rFonts w:ascii="Tahoma" w:hAnsi="Tahoma" w:cs="Tahoma"/>
          <w:sz w:val="23"/>
          <w:szCs w:val="23"/>
        </w:rPr>
      </w:pPr>
    </w:p>
    <w:p w:rsidR="00FE1006" w:rsidRPr="002946CC" w:rsidRDefault="00FE1006" w:rsidP="00FE1006">
      <w:pPr>
        <w:ind w:firstLine="567"/>
        <w:jc w:val="both"/>
        <w:rPr>
          <w:rFonts w:ascii="Tahoma" w:hAnsi="Tahoma" w:cs="Tahoma"/>
          <w:b/>
          <w:sz w:val="23"/>
          <w:szCs w:val="23"/>
        </w:rPr>
      </w:pPr>
      <w:r w:rsidRPr="002946CC">
        <w:rPr>
          <w:rFonts w:ascii="Tahoma" w:hAnsi="Tahoma" w:cs="Tahoma"/>
          <w:b/>
          <w:sz w:val="23"/>
          <w:szCs w:val="23"/>
        </w:rPr>
        <w:t xml:space="preserve">LA SALA RESUELVE: </w:t>
      </w:r>
    </w:p>
    <w:p w:rsidR="00FE1006" w:rsidRPr="002946CC" w:rsidRDefault="00FE1006" w:rsidP="00FE1006">
      <w:pPr>
        <w:jc w:val="both"/>
        <w:rPr>
          <w:rFonts w:ascii="Tahoma" w:hAnsi="Tahoma" w:cs="Tahoma"/>
          <w:snapToGrid w:val="0"/>
          <w:sz w:val="23"/>
          <w:szCs w:val="23"/>
        </w:rPr>
      </w:pPr>
    </w:p>
    <w:p w:rsidR="00FE1006" w:rsidRPr="0019114C" w:rsidRDefault="00FE1006" w:rsidP="00FE1006">
      <w:pPr>
        <w:pStyle w:val="Prrafodelista"/>
        <w:widowControl/>
        <w:numPr>
          <w:ilvl w:val="0"/>
          <w:numId w:val="8"/>
        </w:numPr>
        <w:suppressAutoHyphens w:val="0"/>
        <w:ind w:left="567" w:hanging="567"/>
        <w:jc w:val="both"/>
        <w:rPr>
          <w:rFonts w:ascii="Tahoma" w:hAnsi="Tahoma" w:cs="Tahoma"/>
          <w:sz w:val="22"/>
          <w:szCs w:val="22"/>
        </w:rPr>
      </w:pPr>
      <w:r>
        <w:rPr>
          <w:rFonts w:ascii="Tahoma" w:hAnsi="Tahoma" w:cs="Tahoma"/>
          <w:sz w:val="22"/>
          <w:szCs w:val="22"/>
        </w:rPr>
        <w:t xml:space="preserve">SANCIONAR a la empresa </w:t>
      </w:r>
      <w:r w:rsidRPr="00FE2E4D">
        <w:rPr>
          <w:rFonts w:ascii="Tahoma" w:hAnsi="Tahoma" w:cs="Tahoma"/>
          <w:sz w:val="22"/>
          <w:szCs w:val="22"/>
        </w:rPr>
        <w:t>AFC CONTRATISTAS GENERALES S.A.C.</w:t>
      </w:r>
      <w:r>
        <w:rPr>
          <w:rFonts w:ascii="Tahoma" w:hAnsi="Tahoma" w:cs="Tahoma"/>
          <w:sz w:val="22"/>
          <w:szCs w:val="22"/>
        </w:rPr>
        <w:t xml:space="preserve"> con doce (12</w:t>
      </w:r>
      <w:r w:rsidRPr="0019114C">
        <w:rPr>
          <w:rFonts w:ascii="Tahoma" w:hAnsi="Tahoma" w:cs="Tahoma"/>
          <w:sz w:val="22"/>
          <w:szCs w:val="22"/>
        </w:rPr>
        <w:t>) meses de inhabilitación temporal para participar en procesos de selección y contratar con el Estado por la comisión de la infracción tipificada</w:t>
      </w:r>
      <w:r w:rsidRPr="0019114C">
        <w:rPr>
          <w:rFonts w:ascii="Tahoma" w:eastAsia="MS Mincho" w:hAnsi="Tahoma" w:cs="Tahoma"/>
          <w:sz w:val="22"/>
          <w:szCs w:val="22"/>
        </w:rPr>
        <w:t xml:space="preserve"> en el literal b) del numeral 51.1 del artículo 51 de la Ley de Contrataciones del Estado y el literal b) del numeral 1 del artículo 237 del Reglamento de la Ley de Contratacio</w:t>
      </w:r>
      <w:r>
        <w:rPr>
          <w:rFonts w:ascii="Tahoma" w:eastAsia="MS Mincho" w:hAnsi="Tahoma" w:cs="Tahoma"/>
          <w:sz w:val="22"/>
          <w:szCs w:val="22"/>
        </w:rPr>
        <w:t>nes del Estado</w:t>
      </w:r>
      <w:r w:rsidRPr="0019114C">
        <w:rPr>
          <w:rFonts w:ascii="Tahoma" w:eastAsia="MS Mincho" w:hAnsi="Tahoma" w:cs="Tahoma"/>
          <w:sz w:val="22"/>
          <w:szCs w:val="22"/>
        </w:rPr>
        <w:t xml:space="preserve">, </w:t>
      </w:r>
      <w:r w:rsidRPr="0019114C">
        <w:rPr>
          <w:rFonts w:ascii="Tahoma" w:hAnsi="Tahoma" w:cs="Tahoma"/>
          <w:sz w:val="22"/>
          <w:szCs w:val="22"/>
        </w:rPr>
        <w:t>sanción que entrará en vigencia a partir del sexto día hábil siguiente de notificada la presente resolución.</w:t>
      </w:r>
    </w:p>
    <w:p w:rsidR="00FE1006" w:rsidRPr="0019114C" w:rsidRDefault="00FE1006" w:rsidP="00FE1006">
      <w:pPr>
        <w:jc w:val="both"/>
        <w:rPr>
          <w:rFonts w:ascii="Tahoma" w:hAnsi="Tahoma" w:cs="Tahoma"/>
          <w:sz w:val="22"/>
          <w:szCs w:val="22"/>
        </w:rPr>
      </w:pPr>
    </w:p>
    <w:p w:rsidR="00FE1006" w:rsidRPr="0019114C" w:rsidRDefault="00FE1006" w:rsidP="00FE1006">
      <w:pPr>
        <w:pStyle w:val="Prrafodelista"/>
        <w:widowControl/>
        <w:numPr>
          <w:ilvl w:val="0"/>
          <w:numId w:val="8"/>
        </w:numPr>
        <w:suppressAutoHyphens w:val="0"/>
        <w:ind w:left="567" w:hanging="567"/>
        <w:jc w:val="both"/>
        <w:rPr>
          <w:rFonts w:ascii="Tahoma" w:hAnsi="Tahoma" w:cs="Tahoma"/>
          <w:sz w:val="22"/>
          <w:szCs w:val="22"/>
        </w:rPr>
      </w:pPr>
      <w:r w:rsidRPr="0019114C">
        <w:rPr>
          <w:rFonts w:ascii="Tahoma" w:hAnsi="Tahoma" w:cs="Tahoma"/>
          <w:sz w:val="22"/>
          <w:szCs w:val="22"/>
        </w:rPr>
        <w:t>Poner la presente Resolución en conocimiento de la Subdirección del Registro Nacional de Proveedores del Organismo Supervisor de las Contrataciones del Estado (OSCE) para las anotaciones de ley correspondientes.</w:t>
      </w:r>
    </w:p>
    <w:p w:rsidR="00FE1006" w:rsidRPr="002946CC" w:rsidRDefault="00FE1006" w:rsidP="00FE1006">
      <w:pPr>
        <w:pStyle w:val="Prrafodelista"/>
        <w:ind w:left="426"/>
        <w:jc w:val="both"/>
        <w:rPr>
          <w:rFonts w:ascii="Tahoma" w:hAnsi="Tahoma" w:cs="Tahoma"/>
          <w:color w:val="000000" w:themeColor="text1"/>
          <w:sz w:val="23"/>
          <w:szCs w:val="23"/>
          <w:lang w:val="es-ES"/>
        </w:rPr>
      </w:pPr>
    </w:p>
    <w:p w:rsidR="00FE1006" w:rsidRPr="002946CC" w:rsidRDefault="00FE1006" w:rsidP="00FE1006">
      <w:pPr>
        <w:pStyle w:val="Textoindependiente21"/>
        <w:ind w:firstLine="567"/>
        <w:rPr>
          <w:rFonts w:cs="Tahoma"/>
          <w:sz w:val="23"/>
          <w:szCs w:val="23"/>
        </w:rPr>
      </w:pPr>
      <w:r w:rsidRPr="002946CC">
        <w:rPr>
          <w:rFonts w:cs="Tahoma"/>
          <w:sz w:val="23"/>
          <w:szCs w:val="23"/>
        </w:rPr>
        <w:t>Regístrese, comuníquese y publíquese.</w:t>
      </w:r>
    </w:p>
    <w:p w:rsidR="00FE1006" w:rsidRPr="002946CC" w:rsidRDefault="00FE1006" w:rsidP="00FE1006">
      <w:pPr>
        <w:jc w:val="center"/>
        <w:rPr>
          <w:rFonts w:ascii="Tahoma" w:hAnsi="Tahoma" w:cs="Tahoma"/>
          <w:b/>
          <w:sz w:val="23"/>
          <w:szCs w:val="23"/>
        </w:rPr>
      </w:pPr>
    </w:p>
    <w:p w:rsidR="00FE1006" w:rsidRDefault="00FE1006" w:rsidP="00FE1006">
      <w:pPr>
        <w:jc w:val="center"/>
        <w:rPr>
          <w:rFonts w:ascii="Tahoma" w:hAnsi="Tahoma" w:cs="Tahoma"/>
          <w:b/>
          <w:sz w:val="23"/>
          <w:szCs w:val="23"/>
        </w:rPr>
      </w:pPr>
    </w:p>
    <w:p w:rsidR="00FE1006" w:rsidRDefault="00FE1006" w:rsidP="00FE1006">
      <w:pPr>
        <w:jc w:val="center"/>
        <w:rPr>
          <w:rFonts w:ascii="Tahoma" w:hAnsi="Tahoma" w:cs="Tahoma"/>
          <w:b/>
          <w:sz w:val="23"/>
          <w:szCs w:val="23"/>
        </w:rPr>
      </w:pPr>
    </w:p>
    <w:p w:rsidR="00FE1006" w:rsidRDefault="00FE1006" w:rsidP="00FE1006">
      <w:pPr>
        <w:jc w:val="center"/>
        <w:rPr>
          <w:rFonts w:ascii="Tahoma" w:hAnsi="Tahoma" w:cs="Tahoma"/>
          <w:b/>
          <w:sz w:val="23"/>
          <w:szCs w:val="23"/>
        </w:rPr>
      </w:pPr>
    </w:p>
    <w:p w:rsidR="001D0C98" w:rsidRDefault="001D0C98" w:rsidP="00FE1006">
      <w:pPr>
        <w:jc w:val="center"/>
        <w:rPr>
          <w:rFonts w:ascii="Tahoma" w:hAnsi="Tahoma" w:cs="Tahoma"/>
          <w:b/>
          <w:sz w:val="23"/>
          <w:szCs w:val="23"/>
        </w:rPr>
      </w:pPr>
    </w:p>
    <w:p w:rsidR="001D0C98" w:rsidRDefault="001D0C98" w:rsidP="00FE1006">
      <w:pPr>
        <w:jc w:val="center"/>
        <w:rPr>
          <w:rFonts w:ascii="Tahoma" w:hAnsi="Tahoma" w:cs="Tahoma"/>
          <w:b/>
          <w:sz w:val="23"/>
          <w:szCs w:val="23"/>
        </w:rPr>
      </w:pPr>
    </w:p>
    <w:p w:rsidR="001D0C98" w:rsidRDefault="001D0C98" w:rsidP="00FE1006">
      <w:pPr>
        <w:jc w:val="center"/>
        <w:rPr>
          <w:rFonts w:ascii="Tahoma" w:hAnsi="Tahoma" w:cs="Tahoma"/>
          <w:b/>
          <w:sz w:val="23"/>
          <w:szCs w:val="23"/>
        </w:rPr>
      </w:pPr>
    </w:p>
    <w:p w:rsidR="00FE1006" w:rsidRDefault="00FE1006" w:rsidP="00FE1006">
      <w:pPr>
        <w:jc w:val="center"/>
        <w:rPr>
          <w:rFonts w:ascii="Tahoma" w:hAnsi="Tahoma" w:cs="Tahoma"/>
          <w:b/>
          <w:sz w:val="23"/>
          <w:szCs w:val="23"/>
        </w:rPr>
      </w:pPr>
    </w:p>
    <w:p w:rsidR="00FE1006" w:rsidRPr="002946CC" w:rsidRDefault="00FE1006" w:rsidP="00FE1006">
      <w:pPr>
        <w:jc w:val="center"/>
        <w:rPr>
          <w:rFonts w:ascii="Tahoma" w:hAnsi="Tahoma" w:cs="Tahoma"/>
          <w:b/>
          <w:sz w:val="23"/>
          <w:szCs w:val="23"/>
        </w:rPr>
      </w:pPr>
    </w:p>
    <w:p w:rsidR="00FE1006" w:rsidRPr="002946CC" w:rsidRDefault="00FE1006" w:rsidP="00FE1006">
      <w:pPr>
        <w:jc w:val="center"/>
        <w:rPr>
          <w:rFonts w:ascii="Tahoma" w:hAnsi="Tahoma" w:cs="Tahoma"/>
          <w:b/>
          <w:shadow/>
          <w:sz w:val="23"/>
          <w:szCs w:val="23"/>
          <w:lang w:val="pt-BR"/>
        </w:rPr>
      </w:pPr>
      <w:r w:rsidRPr="002946CC">
        <w:rPr>
          <w:rFonts w:ascii="Tahoma" w:hAnsi="Tahoma" w:cs="Tahoma"/>
          <w:b/>
          <w:shadow/>
          <w:sz w:val="23"/>
          <w:szCs w:val="23"/>
          <w:lang w:val="pt-BR"/>
        </w:rPr>
        <w:t>PRESIDENTE</w:t>
      </w:r>
    </w:p>
    <w:p w:rsidR="00FE1006" w:rsidRPr="002946CC" w:rsidRDefault="00FE1006" w:rsidP="00FE1006">
      <w:pPr>
        <w:ind w:firstLine="708"/>
        <w:rPr>
          <w:rFonts w:ascii="Tahoma" w:hAnsi="Tahoma" w:cs="Tahoma"/>
          <w:b/>
          <w:shadow/>
          <w:sz w:val="23"/>
          <w:szCs w:val="23"/>
          <w:lang w:val="pt-BR"/>
        </w:rPr>
      </w:pPr>
      <w:r w:rsidRPr="002946CC">
        <w:rPr>
          <w:rFonts w:ascii="Tahoma" w:hAnsi="Tahoma" w:cs="Tahoma"/>
          <w:b/>
          <w:shadow/>
          <w:sz w:val="23"/>
          <w:szCs w:val="23"/>
          <w:lang w:val="pt-BR"/>
        </w:rPr>
        <w:t xml:space="preserve">VOCAL           </w:t>
      </w:r>
      <w:r w:rsidRPr="002946CC">
        <w:rPr>
          <w:rFonts w:ascii="Tahoma" w:hAnsi="Tahoma" w:cs="Tahoma"/>
          <w:b/>
          <w:shadow/>
          <w:sz w:val="23"/>
          <w:szCs w:val="23"/>
          <w:lang w:val="pt-BR"/>
        </w:rPr>
        <w:tab/>
      </w:r>
      <w:r w:rsidRPr="002946CC">
        <w:rPr>
          <w:rFonts w:ascii="Tahoma" w:hAnsi="Tahoma" w:cs="Tahoma"/>
          <w:b/>
          <w:shadow/>
          <w:sz w:val="23"/>
          <w:szCs w:val="23"/>
          <w:lang w:val="pt-BR"/>
        </w:rPr>
        <w:tab/>
        <w:t xml:space="preserve">  </w:t>
      </w:r>
      <w:r>
        <w:rPr>
          <w:rFonts w:ascii="Tahoma" w:hAnsi="Tahoma" w:cs="Tahoma"/>
          <w:b/>
          <w:shadow/>
          <w:sz w:val="23"/>
          <w:szCs w:val="23"/>
          <w:lang w:val="pt-BR"/>
        </w:rPr>
        <w:t xml:space="preserve">                   </w:t>
      </w:r>
      <w:r w:rsidRPr="002946CC">
        <w:rPr>
          <w:rFonts w:ascii="Tahoma" w:hAnsi="Tahoma" w:cs="Tahoma"/>
          <w:b/>
          <w:shadow/>
          <w:sz w:val="23"/>
          <w:szCs w:val="23"/>
          <w:lang w:val="pt-BR"/>
        </w:rPr>
        <w:t xml:space="preserve">                               VOCAL</w:t>
      </w:r>
    </w:p>
    <w:p w:rsidR="00FE1006" w:rsidRPr="002946CC" w:rsidRDefault="00FE1006" w:rsidP="00FE1006">
      <w:pPr>
        <w:jc w:val="both"/>
        <w:rPr>
          <w:rFonts w:ascii="Tahoma" w:hAnsi="Tahoma" w:cs="Tahoma"/>
          <w:sz w:val="23"/>
          <w:szCs w:val="23"/>
          <w:lang w:val="pt-BR"/>
        </w:rPr>
      </w:pPr>
      <w:r w:rsidRPr="002946CC">
        <w:rPr>
          <w:rFonts w:ascii="Tahoma" w:hAnsi="Tahoma" w:cs="Tahoma"/>
          <w:sz w:val="23"/>
          <w:szCs w:val="23"/>
          <w:lang w:val="pt-BR"/>
        </w:rPr>
        <w:t>ss.</w:t>
      </w:r>
    </w:p>
    <w:p w:rsidR="00FE1006" w:rsidRPr="002946CC" w:rsidRDefault="00FE1006" w:rsidP="00FE1006">
      <w:pPr>
        <w:pStyle w:val="Textoindependiente21"/>
        <w:tabs>
          <w:tab w:val="left" w:pos="5250"/>
        </w:tabs>
        <w:rPr>
          <w:rFonts w:cs="Tahoma"/>
          <w:sz w:val="23"/>
          <w:szCs w:val="23"/>
          <w:lang w:val="pt-BR"/>
        </w:rPr>
      </w:pPr>
      <w:r w:rsidRPr="002946CC">
        <w:rPr>
          <w:rFonts w:cs="Tahoma"/>
          <w:sz w:val="23"/>
          <w:szCs w:val="23"/>
          <w:lang w:val="pt-BR"/>
        </w:rPr>
        <w:t>Basulto Liewald.</w:t>
      </w:r>
    </w:p>
    <w:p w:rsidR="00FE1006" w:rsidRPr="002946CC" w:rsidRDefault="00FE1006" w:rsidP="00FE1006">
      <w:pPr>
        <w:pStyle w:val="Textoindependiente21"/>
        <w:tabs>
          <w:tab w:val="left" w:pos="5250"/>
        </w:tabs>
        <w:rPr>
          <w:rFonts w:cs="Tahoma"/>
          <w:sz w:val="23"/>
          <w:szCs w:val="23"/>
          <w:lang w:val="pt-BR"/>
        </w:rPr>
      </w:pPr>
      <w:r w:rsidRPr="002946CC">
        <w:rPr>
          <w:rFonts w:cs="Tahoma"/>
          <w:sz w:val="23"/>
          <w:szCs w:val="23"/>
          <w:lang w:val="en-US"/>
        </w:rPr>
        <w:t>Ramírez Maynetto.</w:t>
      </w:r>
    </w:p>
    <w:p w:rsidR="00FE1006" w:rsidRPr="002946CC" w:rsidRDefault="00FE1006" w:rsidP="00FE1006">
      <w:pPr>
        <w:pStyle w:val="Textoindependiente21"/>
        <w:rPr>
          <w:rFonts w:cs="Tahoma"/>
          <w:sz w:val="23"/>
          <w:szCs w:val="23"/>
        </w:rPr>
      </w:pPr>
      <w:r w:rsidRPr="002946CC">
        <w:rPr>
          <w:rFonts w:cs="Tahoma"/>
          <w:sz w:val="23"/>
          <w:szCs w:val="23"/>
        </w:rPr>
        <w:t>Fonseca Oliveira.</w:t>
      </w:r>
    </w:p>
    <w:p w:rsidR="00FE1006" w:rsidRDefault="00FE1006" w:rsidP="00FE1006"/>
    <w:p w:rsidR="008B738B" w:rsidRDefault="00E72DDB"/>
    <w:sectPr w:rsidR="008B738B" w:rsidSect="0035353E">
      <w:headerReference w:type="default" r:id="rId7"/>
      <w:footerReference w:type="default" r:id="rId8"/>
      <w:pgSz w:w="11906" w:h="16838"/>
      <w:pgMar w:top="340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2DDB" w:rsidRDefault="00E72DDB" w:rsidP="00FE1006">
      <w:r>
        <w:separator/>
      </w:r>
    </w:p>
  </w:endnote>
  <w:endnote w:type="continuationSeparator" w:id="1">
    <w:p w:rsidR="00E72DDB" w:rsidRDefault="00E72DDB" w:rsidP="00FE10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0A29D3">
            <w:pPr>
              <w:pStyle w:val="Piedepgina"/>
              <w:jc w:val="center"/>
            </w:pPr>
            <w:r>
              <w:t xml:space="preserve">Página </w:t>
            </w:r>
            <w:r w:rsidR="00E940F7">
              <w:rPr>
                <w:b/>
              </w:rPr>
              <w:fldChar w:fldCharType="begin"/>
            </w:r>
            <w:r>
              <w:rPr>
                <w:b/>
              </w:rPr>
              <w:instrText>PAGE</w:instrText>
            </w:r>
            <w:r w:rsidR="00E940F7">
              <w:rPr>
                <w:b/>
              </w:rPr>
              <w:fldChar w:fldCharType="separate"/>
            </w:r>
            <w:r w:rsidR="00870A4E">
              <w:rPr>
                <w:b/>
                <w:noProof/>
              </w:rPr>
              <w:t>1</w:t>
            </w:r>
            <w:r w:rsidR="00E940F7">
              <w:rPr>
                <w:b/>
              </w:rPr>
              <w:fldChar w:fldCharType="end"/>
            </w:r>
            <w:r>
              <w:t xml:space="preserve"> de </w:t>
            </w:r>
            <w:r w:rsidR="00E940F7">
              <w:rPr>
                <w:b/>
              </w:rPr>
              <w:fldChar w:fldCharType="begin"/>
            </w:r>
            <w:r>
              <w:rPr>
                <w:b/>
              </w:rPr>
              <w:instrText>NUMPAGES</w:instrText>
            </w:r>
            <w:r w:rsidR="00E940F7">
              <w:rPr>
                <w:b/>
              </w:rPr>
              <w:fldChar w:fldCharType="separate"/>
            </w:r>
            <w:r w:rsidR="00870A4E">
              <w:rPr>
                <w:b/>
                <w:noProof/>
              </w:rPr>
              <w:t>6</w:t>
            </w:r>
            <w:r w:rsidR="00E940F7">
              <w:rPr>
                <w:b/>
              </w:rPr>
              <w:fldChar w:fldCharType="end"/>
            </w:r>
          </w:p>
        </w:sdtContent>
      </w:sdt>
    </w:sdtContent>
  </w:sdt>
  <w:p w:rsidR="0035353E" w:rsidRDefault="00E72DD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2DDB" w:rsidRDefault="00E72DDB" w:rsidP="00FE1006">
      <w:r>
        <w:separator/>
      </w:r>
    </w:p>
  </w:footnote>
  <w:footnote w:type="continuationSeparator" w:id="1">
    <w:p w:rsidR="00E72DDB" w:rsidRDefault="00E72DDB" w:rsidP="00FE1006">
      <w:r>
        <w:continuationSeparator/>
      </w:r>
    </w:p>
  </w:footnote>
  <w:footnote w:id="2">
    <w:p w:rsidR="00FE1006" w:rsidRDefault="00FE1006" w:rsidP="00FE1006">
      <w:pPr>
        <w:pStyle w:val="Textonotapie"/>
        <w:jc w:val="both"/>
        <w:rPr>
          <w:rFonts w:ascii="Tahoma" w:hAnsi="Tahoma" w:cs="Tahoma"/>
          <w:sz w:val="16"/>
          <w:szCs w:val="16"/>
        </w:rPr>
      </w:pPr>
      <w:r w:rsidRPr="00A728D9">
        <w:rPr>
          <w:rStyle w:val="Refdenotaalpie"/>
          <w:rFonts w:ascii="Tahoma" w:hAnsi="Tahoma" w:cs="Tahoma"/>
          <w:sz w:val="16"/>
          <w:szCs w:val="16"/>
        </w:rPr>
        <w:footnoteRef/>
      </w:r>
      <w:r w:rsidRPr="00A728D9">
        <w:rPr>
          <w:rFonts w:ascii="Tahoma" w:hAnsi="Tahoma" w:cs="Tahoma"/>
          <w:sz w:val="16"/>
          <w:szCs w:val="16"/>
        </w:rPr>
        <w:t xml:space="preserve"> La anotada presunción legal se sustenta en el </w:t>
      </w:r>
      <w:r w:rsidRPr="00A728D9">
        <w:rPr>
          <w:rFonts w:ascii="Tahoma" w:hAnsi="Tahoma" w:cs="Tahoma"/>
          <w:sz w:val="16"/>
          <w:szCs w:val="16"/>
          <w:lang w:val="es-PE"/>
        </w:rPr>
        <w:t xml:space="preserve">artículo 1329 del Código Civil, el cual establece que “se presume que la inejecución de la obligación, o su cumplimiento parcial, tardío o defectuoso, obedece a culpa leve del deudor”, artículo aplicable al presente caso de conformidad con el </w:t>
      </w:r>
      <w:r w:rsidRPr="00A728D9">
        <w:rPr>
          <w:rFonts w:ascii="Tahoma" w:hAnsi="Tahoma" w:cs="Tahoma"/>
          <w:sz w:val="16"/>
          <w:szCs w:val="16"/>
        </w:rPr>
        <w:t>artículo IX, del Título Preliminar del mismo cuerpo normativo: “Las disposiciones del Código Civil se aplican supletoriamente a las relaciones y situaciones jurídicas reguladas por otras leyes, siempre que no sean incompatibles con su naturaleza”.</w:t>
      </w:r>
    </w:p>
    <w:p w:rsidR="00FE1006" w:rsidRPr="00A728D9" w:rsidRDefault="00FE1006" w:rsidP="00FE1006">
      <w:pPr>
        <w:pStyle w:val="Textonotapie"/>
        <w:rPr>
          <w:rFonts w:ascii="Tahoma" w:hAnsi="Tahoma" w:cs="Tahoma"/>
          <w:sz w:val="16"/>
          <w:szCs w:val="16"/>
        </w:rPr>
      </w:pPr>
    </w:p>
  </w:footnote>
  <w:footnote w:id="3">
    <w:p w:rsidR="00FE1006" w:rsidRDefault="00FE1006" w:rsidP="00FE1006">
      <w:pPr>
        <w:pStyle w:val="Textonotapie"/>
        <w:rPr>
          <w:rFonts w:ascii="Tahoma" w:hAnsi="Tahoma" w:cs="Tahoma"/>
          <w:sz w:val="16"/>
          <w:szCs w:val="16"/>
        </w:rPr>
      </w:pPr>
      <w:r w:rsidRPr="00A728D9">
        <w:rPr>
          <w:rStyle w:val="Refdenotaalpie"/>
          <w:rFonts w:ascii="Tahoma" w:hAnsi="Tahoma" w:cs="Tahoma"/>
          <w:sz w:val="16"/>
          <w:szCs w:val="16"/>
        </w:rPr>
        <w:footnoteRef/>
      </w:r>
      <w:r w:rsidRPr="00A728D9">
        <w:rPr>
          <w:rFonts w:ascii="Tahoma" w:hAnsi="Tahoma" w:cs="Tahoma"/>
          <w:sz w:val="16"/>
          <w:szCs w:val="16"/>
        </w:rPr>
        <w:t xml:space="preserve"> Documento que obra</w:t>
      </w:r>
      <w:r>
        <w:rPr>
          <w:rFonts w:ascii="Tahoma" w:hAnsi="Tahoma" w:cs="Tahoma"/>
          <w:sz w:val="16"/>
          <w:szCs w:val="16"/>
        </w:rPr>
        <w:t xml:space="preserve"> a fojas 020</w:t>
      </w:r>
      <w:r w:rsidRPr="00A728D9">
        <w:rPr>
          <w:rFonts w:ascii="Tahoma" w:hAnsi="Tahoma" w:cs="Tahoma"/>
          <w:sz w:val="16"/>
          <w:szCs w:val="16"/>
        </w:rPr>
        <w:t xml:space="preserve"> del expediente.</w:t>
      </w:r>
    </w:p>
    <w:p w:rsidR="00FE1006" w:rsidRPr="00A728D9" w:rsidRDefault="00FE1006" w:rsidP="00FE1006">
      <w:pPr>
        <w:pStyle w:val="Textonotapie"/>
        <w:rPr>
          <w:rFonts w:ascii="Tahoma" w:hAnsi="Tahoma" w:cs="Tahoma"/>
          <w:sz w:val="16"/>
          <w:szCs w:val="16"/>
        </w:rPr>
      </w:pPr>
    </w:p>
  </w:footnote>
  <w:footnote w:id="4">
    <w:p w:rsidR="00FE1006" w:rsidRPr="00A728D9" w:rsidRDefault="00FE1006" w:rsidP="00FE1006">
      <w:pPr>
        <w:autoSpaceDE w:val="0"/>
        <w:autoSpaceDN w:val="0"/>
        <w:adjustRightInd w:val="0"/>
        <w:jc w:val="both"/>
        <w:rPr>
          <w:rFonts w:ascii="Tahoma" w:hAnsi="Tahoma" w:cs="Tahoma"/>
          <w:b/>
          <w:bCs/>
          <w:sz w:val="16"/>
          <w:szCs w:val="16"/>
        </w:rPr>
      </w:pPr>
      <w:r w:rsidRPr="00A728D9">
        <w:rPr>
          <w:rStyle w:val="Refdenotaalpie"/>
          <w:rFonts w:ascii="Tahoma" w:eastAsia="Batang" w:hAnsi="Tahoma" w:cs="Tahoma"/>
          <w:sz w:val="16"/>
          <w:szCs w:val="16"/>
        </w:rPr>
        <w:footnoteRef/>
      </w:r>
      <w:r w:rsidRPr="00A728D9">
        <w:rPr>
          <w:rFonts w:ascii="Tahoma" w:hAnsi="Tahoma" w:cs="Tahoma"/>
          <w:sz w:val="16"/>
          <w:szCs w:val="16"/>
        </w:rPr>
        <w:t xml:space="preserve"> </w:t>
      </w:r>
      <w:r w:rsidRPr="00A728D9">
        <w:rPr>
          <w:rFonts w:ascii="Tahoma" w:hAnsi="Tahoma" w:cs="Tahoma"/>
          <w:b/>
          <w:bCs/>
          <w:sz w:val="16"/>
          <w:szCs w:val="16"/>
        </w:rPr>
        <w:t>Artículo 245.- Determinación gradual de la Sanción</w:t>
      </w:r>
    </w:p>
    <w:p w:rsidR="00FE1006" w:rsidRPr="00A728D9" w:rsidRDefault="00FE1006" w:rsidP="00FE1006">
      <w:pPr>
        <w:autoSpaceDE w:val="0"/>
        <w:autoSpaceDN w:val="0"/>
        <w:adjustRightInd w:val="0"/>
        <w:jc w:val="both"/>
        <w:rPr>
          <w:rFonts w:ascii="Tahoma" w:hAnsi="Tahoma" w:cs="Tahoma"/>
          <w:sz w:val="16"/>
          <w:szCs w:val="16"/>
        </w:rPr>
      </w:pPr>
      <w:r w:rsidRPr="00A728D9">
        <w:rPr>
          <w:rFonts w:ascii="Tahoma" w:hAnsi="Tahoma" w:cs="Tahoma"/>
          <w:sz w:val="16"/>
          <w:szCs w:val="16"/>
        </w:rPr>
        <w:t>Para graduar la sanción a imponerse conforme a las disposiciones del presente Título, se considerarán los siguientes criterios:</w:t>
      </w:r>
    </w:p>
    <w:p w:rsidR="00FE1006" w:rsidRPr="00A728D9" w:rsidRDefault="00FE1006" w:rsidP="00FE1006">
      <w:pPr>
        <w:autoSpaceDE w:val="0"/>
        <w:autoSpaceDN w:val="0"/>
        <w:adjustRightInd w:val="0"/>
        <w:jc w:val="both"/>
        <w:rPr>
          <w:rFonts w:ascii="Tahoma" w:hAnsi="Tahoma" w:cs="Tahoma"/>
          <w:sz w:val="16"/>
          <w:szCs w:val="16"/>
        </w:rPr>
      </w:pPr>
      <w:r w:rsidRPr="00A728D9">
        <w:rPr>
          <w:rFonts w:ascii="Tahoma" w:hAnsi="Tahoma" w:cs="Tahoma"/>
          <w:sz w:val="16"/>
          <w:szCs w:val="16"/>
        </w:rPr>
        <w:t>1) Naturaleza de la infracción.</w:t>
      </w:r>
    </w:p>
    <w:p w:rsidR="00FE1006" w:rsidRPr="00A728D9" w:rsidRDefault="00FE1006" w:rsidP="00FE1006">
      <w:pPr>
        <w:autoSpaceDE w:val="0"/>
        <w:autoSpaceDN w:val="0"/>
        <w:adjustRightInd w:val="0"/>
        <w:jc w:val="both"/>
        <w:rPr>
          <w:rFonts w:ascii="Tahoma" w:hAnsi="Tahoma" w:cs="Tahoma"/>
          <w:sz w:val="16"/>
          <w:szCs w:val="16"/>
        </w:rPr>
      </w:pPr>
      <w:r w:rsidRPr="00A728D9">
        <w:rPr>
          <w:rFonts w:ascii="Tahoma" w:hAnsi="Tahoma" w:cs="Tahoma"/>
          <w:sz w:val="16"/>
          <w:szCs w:val="16"/>
        </w:rPr>
        <w:t>2) Intencionalidad del infractor.</w:t>
      </w:r>
    </w:p>
    <w:p w:rsidR="00FE1006" w:rsidRPr="00A728D9" w:rsidRDefault="00FE1006" w:rsidP="00FE1006">
      <w:pPr>
        <w:autoSpaceDE w:val="0"/>
        <w:autoSpaceDN w:val="0"/>
        <w:adjustRightInd w:val="0"/>
        <w:jc w:val="both"/>
        <w:rPr>
          <w:rFonts w:ascii="Tahoma" w:hAnsi="Tahoma" w:cs="Tahoma"/>
          <w:sz w:val="16"/>
          <w:szCs w:val="16"/>
        </w:rPr>
      </w:pPr>
      <w:r w:rsidRPr="00A728D9">
        <w:rPr>
          <w:rFonts w:ascii="Tahoma" w:hAnsi="Tahoma" w:cs="Tahoma"/>
          <w:sz w:val="16"/>
          <w:szCs w:val="16"/>
        </w:rPr>
        <w:t>3) Daño causado.</w:t>
      </w:r>
    </w:p>
    <w:p w:rsidR="00FE1006" w:rsidRPr="00A728D9" w:rsidRDefault="00FE1006" w:rsidP="00FE1006">
      <w:pPr>
        <w:autoSpaceDE w:val="0"/>
        <w:autoSpaceDN w:val="0"/>
        <w:adjustRightInd w:val="0"/>
        <w:jc w:val="both"/>
        <w:rPr>
          <w:rFonts w:ascii="Tahoma" w:hAnsi="Tahoma" w:cs="Tahoma"/>
          <w:sz w:val="16"/>
          <w:szCs w:val="16"/>
        </w:rPr>
      </w:pPr>
      <w:r w:rsidRPr="00A728D9">
        <w:rPr>
          <w:rFonts w:ascii="Tahoma" w:hAnsi="Tahoma" w:cs="Tahoma"/>
          <w:sz w:val="16"/>
          <w:szCs w:val="16"/>
        </w:rPr>
        <w:t>4) Reiterancia.</w:t>
      </w:r>
    </w:p>
    <w:p w:rsidR="00FE1006" w:rsidRPr="00A728D9" w:rsidRDefault="00FE1006" w:rsidP="00FE1006">
      <w:pPr>
        <w:autoSpaceDE w:val="0"/>
        <w:autoSpaceDN w:val="0"/>
        <w:adjustRightInd w:val="0"/>
        <w:jc w:val="both"/>
        <w:rPr>
          <w:rFonts w:ascii="Tahoma" w:hAnsi="Tahoma" w:cs="Tahoma"/>
          <w:sz w:val="16"/>
          <w:szCs w:val="16"/>
        </w:rPr>
      </w:pPr>
      <w:r w:rsidRPr="00A728D9">
        <w:rPr>
          <w:rFonts w:ascii="Tahoma" w:hAnsi="Tahoma" w:cs="Tahoma"/>
          <w:sz w:val="16"/>
          <w:szCs w:val="16"/>
        </w:rPr>
        <w:t>5) El reconocimiento de la infracción cometida antes de que sea detectada.</w:t>
      </w:r>
    </w:p>
    <w:p w:rsidR="00FE1006" w:rsidRPr="00A728D9" w:rsidRDefault="00FE1006" w:rsidP="00FE1006">
      <w:pPr>
        <w:autoSpaceDE w:val="0"/>
        <w:autoSpaceDN w:val="0"/>
        <w:adjustRightInd w:val="0"/>
        <w:jc w:val="both"/>
        <w:rPr>
          <w:rFonts w:ascii="Tahoma" w:hAnsi="Tahoma" w:cs="Tahoma"/>
          <w:sz w:val="16"/>
          <w:szCs w:val="16"/>
        </w:rPr>
      </w:pPr>
      <w:r w:rsidRPr="00A728D9">
        <w:rPr>
          <w:rFonts w:ascii="Tahoma" w:hAnsi="Tahoma" w:cs="Tahoma"/>
          <w:sz w:val="16"/>
          <w:szCs w:val="16"/>
        </w:rPr>
        <w:t>6) Circunstancias de tiempo, lugar y modo.</w:t>
      </w:r>
    </w:p>
    <w:p w:rsidR="00FE1006" w:rsidRPr="00A728D9" w:rsidRDefault="00FE1006" w:rsidP="00FE1006">
      <w:pPr>
        <w:autoSpaceDE w:val="0"/>
        <w:autoSpaceDN w:val="0"/>
        <w:adjustRightInd w:val="0"/>
        <w:jc w:val="both"/>
        <w:rPr>
          <w:rFonts w:ascii="Tahoma" w:hAnsi="Tahoma" w:cs="Tahoma"/>
          <w:sz w:val="16"/>
          <w:szCs w:val="16"/>
        </w:rPr>
      </w:pPr>
      <w:r w:rsidRPr="00A728D9">
        <w:rPr>
          <w:rFonts w:ascii="Tahoma" w:hAnsi="Tahoma" w:cs="Tahoma"/>
          <w:sz w:val="16"/>
          <w:szCs w:val="16"/>
        </w:rPr>
        <w:t>7) Condiciones del infractor.</w:t>
      </w:r>
    </w:p>
    <w:p w:rsidR="00FE1006" w:rsidRPr="00A728D9" w:rsidRDefault="00FE1006" w:rsidP="00FE1006">
      <w:pPr>
        <w:autoSpaceDE w:val="0"/>
        <w:autoSpaceDN w:val="0"/>
        <w:adjustRightInd w:val="0"/>
        <w:jc w:val="both"/>
        <w:rPr>
          <w:rFonts w:ascii="Tahoma" w:hAnsi="Tahoma" w:cs="Tahoma"/>
          <w:sz w:val="16"/>
          <w:szCs w:val="16"/>
        </w:rPr>
      </w:pPr>
      <w:r w:rsidRPr="00A728D9">
        <w:rPr>
          <w:rFonts w:ascii="Tahoma" w:hAnsi="Tahoma" w:cs="Tahoma"/>
          <w:sz w:val="16"/>
          <w:szCs w:val="16"/>
        </w:rPr>
        <w:t>8) Conducta procesal del infractor.</w:t>
      </w:r>
    </w:p>
    <w:p w:rsidR="00FE1006" w:rsidRPr="00B374B2" w:rsidRDefault="00FE1006" w:rsidP="00FE1006">
      <w:pPr>
        <w:pStyle w:val="Textonotapie"/>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A4E" w:rsidRDefault="00870A4E" w:rsidP="00870A4E">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870A4E" w:rsidRDefault="00870A4E" w:rsidP="00870A4E">
    <w:pPr>
      <w:pStyle w:val="Encabezado"/>
      <w:rPr>
        <w:noProof/>
      </w:rPr>
    </w:pPr>
  </w:p>
  <w:p w:rsidR="00870A4E" w:rsidRDefault="00870A4E" w:rsidP="00870A4E">
    <w:pPr>
      <w:pStyle w:val="Encabezado"/>
      <w:rPr>
        <w:noProof/>
      </w:rPr>
    </w:pPr>
  </w:p>
  <w:p w:rsidR="00870A4E" w:rsidRDefault="00870A4E" w:rsidP="00870A4E">
    <w:pPr>
      <w:pStyle w:val="Encabezado"/>
      <w:rPr>
        <w:noProof/>
      </w:rPr>
    </w:pPr>
  </w:p>
  <w:p w:rsidR="00870A4E" w:rsidRDefault="00870A4E" w:rsidP="00870A4E">
    <w:pPr>
      <w:pStyle w:val="Encabezado"/>
      <w:jc w:val="center"/>
    </w:pPr>
    <w:r>
      <w:rPr>
        <w:rFonts w:ascii="Monotype Corsiva" w:hAnsi="Monotype Corsiva"/>
        <w:b/>
        <w:sz w:val="44"/>
        <w:szCs w:val="44"/>
      </w:rPr>
      <w:t xml:space="preserve">Resolución Nº   </w:t>
    </w:r>
    <w:r>
      <w:rPr>
        <w:rFonts w:ascii="Tahoma" w:hAnsi="Tahoma" w:cs="Tahoma"/>
        <w:b/>
        <w:sz w:val="44"/>
        <w:szCs w:val="44"/>
      </w:rPr>
      <w:t>241-2011-TC-S1</w:t>
    </w:r>
  </w:p>
  <w:p w:rsidR="00870A4E" w:rsidRDefault="00870A4E">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821D3"/>
    <w:multiLevelType w:val="hybridMultilevel"/>
    <w:tmpl w:val="A3AEC346"/>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
    <w:nsid w:val="03B204BB"/>
    <w:multiLevelType w:val="hybridMultilevel"/>
    <w:tmpl w:val="9CB8A43E"/>
    <w:lvl w:ilvl="0" w:tplc="8C68F406">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
    <w:nsid w:val="292E7221"/>
    <w:multiLevelType w:val="hybridMultilevel"/>
    <w:tmpl w:val="43F45930"/>
    <w:lvl w:ilvl="0" w:tplc="DBC23C3E">
      <w:start w:val="1"/>
      <w:numFmt w:val="decimal"/>
      <w:lvlText w:val="%1."/>
      <w:lvlJc w:val="left"/>
      <w:pPr>
        <w:tabs>
          <w:tab w:val="num" w:pos="502"/>
        </w:tabs>
        <w:ind w:left="502" w:hanging="360"/>
      </w:pPr>
      <w:rPr>
        <w:rFonts w:ascii="Tahoma" w:hAnsi="Tahoma" w:cs="Tahoma" w:hint="default"/>
        <w:b w:val="0"/>
      </w:rPr>
    </w:lvl>
    <w:lvl w:ilvl="1" w:tplc="0C0A0019">
      <w:start w:val="1"/>
      <w:numFmt w:val="lowerLetter"/>
      <w:lvlText w:val="%2."/>
      <w:lvlJc w:val="left"/>
      <w:pPr>
        <w:tabs>
          <w:tab w:val="num" w:pos="1080"/>
        </w:tabs>
        <w:ind w:left="1080" w:hanging="360"/>
      </w:pPr>
      <w:rPr>
        <w:rFonts w:cs="Times New Roman"/>
      </w:rPr>
    </w:lvl>
    <w:lvl w:ilvl="2" w:tplc="0C0A001B">
      <w:start w:val="1"/>
      <w:numFmt w:val="decimal"/>
      <w:lvlText w:val="%3."/>
      <w:lvlJc w:val="left"/>
      <w:pPr>
        <w:tabs>
          <w:tab w:val="num" w:pos="2160"/>
        </w:tabs>
        <w:ind w:left="2160" w:hanging="36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decimal"/>
      <w:lvlText w:val="%5."/>
      <w:lvlJc w:val="left"/>
      <w:pPr>
        <w:tabs>
          <w:tab w:val="num" w:pos="3600"/>
        </w:tabs>
        <w:ind w:left="3600" w:hanging="360"/>
      </w:pPr>
      <w:rPr>
        <w:rFonts w:cs="Times New Roman"/>
      </w:rPr>
    </w:lvl>
    <w:lvl w:ilvl="5" w:tplc="0C0A001B">
      <w:start w:val="1"/>
      <w:numFmt w:val="decimal"/>
      <w:lvlText w:val="%6."/>
      <w:lvlJc w:val="left"/>
      <w:pPr>
        <w:tabs>
          <w:tab w:val="num" w:pos="4320"/>
        </w:tabs>
        <w:ind w:left="4320" w:hanging="36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decimal"/>
      <w:lvlText w:val="%8."/>
      <w:lvlJc w:val="left"/>
      <w:pPr>
        <w:tabs>
          <w:tab w:val="num" w:pos="5760"/>
        </w:tabs>
        <w:ind w:left="5760" w:hanging="360"/>
      </w:pPr>
      <w:rPr>
        <w:rFonts w:cs="Times New Roman"/>
      </w:rPr>
    </w:lvl>
    <w:lvl w:ilvl="8" w:tplc="0C0A001B">
      <w:start w:val="1"/>
      <w:numFmt w:val="decimal"/>
      <w:lvlText w:val="%9."/>
      <w:lvlJc w:val="left"/>
      <w:pPr>
        <w:tabs>
          <w:tab w:val="num" w:pos="6480"/>
        </w:tabs>
        <w:ind w:left="6480" w:hanging="360"/>
      </w:pPr>
      <w:rPr>
        <w:rFonts w:cs="Times New Roman"/>
      </w:rPr>
    </w:lvl>
  </w:abstractNum>
  <w:abstractNum w:abstractNumId="3">
    <w:nsid w:val="382365F1"/>
    <w:multiLevelType w:val="hybridMultilevel"/>
    <w:tmpl w:val="53E01A04"/>
    <w:lvl w:ilvl="0" w:tplc="7C067134">
      <w:start w:val="1"/>
      <w:numFmt w:val="decimal"/>
      <w:lvlText w:val="%1."/>
      <w:lvlJc w:val="left"/>
      <w:pPr>
        <w:tabs>
          <w:tab w:val="num" w:pos="454"/>
        </w:tabs>
        <w:ind w:left="454" w:hanging="454"/>
      </w:pPr>
      <w:rPr>
        <w:rFonts w:ascii="Tahoma" w:hAnsi="Tahoma" w:cs="Tahoma" w:hint="default"/>
        <w:b/>
        <w:i w:val="0"/>
        <w:shadow/>
        <w:color w:val="auto"/>
        <w:sz w:val="20"/>
        <w:szCs w:val="20"/>
      </w:rPr>
    </w:lvl>
    <w:lvl w:ilvl="1" w:tplc="775A4820">
      <w:start w:val="1"/>
      <w:numFmt w:val="upperRoman"/>
      <w:isLgl/>
      <w:lvlText w:val="%2."/>
      <w:lvlJc w:val="left"/>
      <w:pPr>
        <w:tabs>
          <w:tab w:val="num" w:pos="1174"/>
        </w:tabs>
        <w:ind w:left="1174" w:hanging="720"/>
      </w:pPr>
      <w:rPr>
        <w:rFonts w:ascii="Times New Roman" w:eastAsia="Times New Roman" w:hAnsi="Times New Roman" w:cs="Times New Roman"/>
        <w:b/>
      </w:rPr>
    </w:lvl>
    <w:lvl w:ilvl="2" w:tplc="415AAF92">
      <w:numFmt w:val="none"/>
      <w:lvlText w:val=""/>
      <w:lvlJc w:val="left"/>
      <w:pPr>
        <w:tabs>
          <w:tab w:val="num" w:pos="360"/>
        </w:tabs>
      </w:pPr>
    </w:lvl>
    <w:lvl w:ilvl="3" w:tplc="0DC21650">
      <w:numFmt w:val="none"/>
      <w:lvlText w:val=""/>
      <w:lvlJc w:val="left"/>
      <w:pPr>
        <w:tabs>
          <w:tab w:val="num" w:pos="360"/>
        </w:tabs>
      </w:pPr>
    </w:lvl>
    <w:lvl w:ilvl="4" w:tplc="7C5AF8B4">
      <w:numFmt w:val="none"/>
      <w:lvlText w:val=""/>
      <w:lvlJc w:val="left"/>
      <w:pPr>
        <w:tabs>
          <w:tab w:val="num" w:pos="360"/>
        </w:tabs>
      </w:pPr>
    </w:lvl>
    <w:lvl w:ilvl="5" w:tplc="9A7040EE">
      <w:numFmt w:val="none"/>
      <w:lvlText w:val=""/>
      <w:lvlJc w:val="left"/>
      <w:pPr>
        <w:tabs>
          <w:tab w:val="num" w:pos="360"/>
        </w:tabs>
      </w:pPr>
    </w:lvl>
    <w:lvl w:ilvl="6" w:tplc="40A2ED64">
      <w:numFmt w:val="none"/>
      <w:lvlText w:val=""/>
      <w:lvlJc w:val="left"/>
      <w:pPr>
        <w:tabs>
          <w:tab w:val="num" w:pos="360"/>
        </w:tabs>
      </w:pPr>
    </w:lvl>
    <w:lvl w:ilvl="7" w:tplc="9356F91C">
      <w:numFmt w:val="none"/>
      <w:lvlText w:val=""/>
      <w:lvlJc w:val="left"/>
      <w:pPr>
        <w:tabs>
          <w:tab w:val="num" w:pos="360"/>
        </w:tabs>
      </w:pPr>
    </w:lvl>
    <w:lvl w:ilvl="8" w:tplc="3A1EF428">
      <w:numFmt w:val="none"/>
      <w:lvlText w:val=""/>
      <w:lvlJc w:val="left"/>
      <w:pPr>
        <w:tabs>
          <w:tab w:val="num" w:pos="360"/>
        </w:tabs>
      </w:pPr>
    </w:lvl>
  </w:abstractNum>
  <w:abstractNum w:abstractNumId="4">
    <w:nsid w:val="4A5A13A8"/>
    <w:multiLevelType w:val="hybridMultilevel"/>
    <w:tmpl w:val="9D2E909E"/>
    <w:lvl w:ilvl="0" w:tplc="0C0A0017">
      <w:start w:val="1"/>
      <w:numFmt w:val="lowerLetter"/>
      <w:lvlText w:val="%1)"/>
      <w:lvlJc w:val="left"/>
      <w:pPr>
        <w:ind w:left="1287" w:hanging="360"/>
      </w:pPr>
      <w:rPr>
        <w:rFonts w:cs="Times New Roman"/>
      </w:rPr>
    </w:lvl>
    <w:lvl w:ilvl="1" w:tplc="0C0A0019" w:tentative="1">
      <w:start w:val="1"/>
      <w:numFmt w:val="lowerLetter"/>
      <w:lvlText w:val="%2."/>
      <w:lvlJc w:val="left"/>
      <w:pPr>
        <w:ind w:left="2007" w:hanging="360"/>
      </w:pPr>
      <w:rPr>
        <w:rFonts w:cs="Times New Roman"/>
      </w:rPr>
    </w:lvl>
    <w:lvl w:ilvl="2" w:tplc="0C0A001B" w:tentative="1">
      <w:start w:val="1"/>
      <w:numFmt w:val="lowerRoman"/>
      <w:lvlText w:val="%3."/>
      <w:lvlJc w:val="right"/>
      <w:pPr>
        <w:ind w:left="2727" w:hanging="180"/>
      </w:pPr>
      <w:rPr>
        <w:rFonts w:cs="Times New Roman"/>
      </w:rPr>
    </w:lvl>
    <w:lvl w:ilvl="3" w:tplc="0C0A000F" w:tentative="1">
      <w:start w:val="1"/>
      <w:numFmt w:val="decimal"/>
      <w:lvlText w:val="%4."/>
      <w:lvlJc w:val="left"/>
      <w:pPr>
        <w:ind w:left="3447" w:hanging="360"/>
      </w:pPr>
      <w:rPr>
        <w:rFonts w:cs="Times New Roman"/>
      </w:rPr>
    </w:lvl>
    <w:lvl w:ilvl="4" w:tplc="0C0A0019" w:tentative="1">
      <w:start w:val="1"/>
      <w:numFmt w:val="lowerLetter"/>
      <w:lvlText w:val="%5."/>
      <w:lvlJc w:val="left"/>
      <w:pPr>
        <w:ind w:left="4167" w:hanging="360"/>
      </w:pPr>
      <w:rPr>
        <w:rFonts w:cs="Times New Roman"/>
      </w:rPr>
    </w:lvl>
    <w:lvl w:ilvl="5" w:tplc="0C0A001B" w:tentative="1">
      <w:start w:val="1"/>
      <w:numFmt w:val="lowerRoman"/>
      <w:lvlText w:val="%6."/>
      <w:lvlJc w:val="right"/>
      <w:pPr>
        <w:ind w:left="4887" w:hanging="180"/>
      </w:pPr>
      <w:rPr>
        <w:rFonts w:cs="Times New Roman"/>
      </w:rPr>
    </w:lvl>
    <w:lvl w:ilvl="6" w:tplc="0C0A000F" w:tentative="1">
      <w:start w:val="1"/>
      <w:numFmt w:val="decimal"/>
      <w:lvlText w:val="%7."/>
      <w:lvlJc w:val="left"/>
      <w:pPr>
        <w:ind w:left="5607" w:hanging="360"/>
      </w:pPr>
      <w:rPr>
        <w:rFonts w:cs="Times New Roman"/>
      </w:rPr>
    </w:lvl>
    <w:lvl w:ilvl="7" w:tplc="0C0A0019" w:tentative="1">
      <w:start w:val="1"/>
      <w:numFmt w:val="lowerLetter"/>
      <w:lvlText w:val="%8."/>
      <w:lvlJc w:val="left"/>
      <w:pPr>
        <w:ind w:left="6327" w:hanging="360"/>
      </w:pPr>
      <w:rPr>
        <w:rFonts w:cs="Times New Roman"/>
      </w:rPr>
    </w:lvl>
    <w:lvl w:ilvl="8" w:tplc="0C0A001B" w:tentative="1">
      <w:start w:val="1"/>
      <w:numFmt w:val="lowerRoman"/>
      <w:lvlText w:val="%9."/>
      <w:lvlJc w:val="right"/>
      <w:pPr>
        <w:ind w:left="7047" w:hanging="180"/>
      </w:pPr>
      <w:rPr>
        <w:rFonts w:cs="Times New Roman"/>
      </w:rPr>
    </w:lvl>
  </w:abstractNum>
  <w:abstractNum w:abstractNumId="5">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669D522A"/>
    <w:multiLevelType w:val="hybridMultilevel"/>
    <w:tmpl w:val="A52654A6"/>
    <w:lvl w:ilvl="0" w:tplc="0C0A0017">
      <w:start w:val="1"/>
      <w:numFmt w:val="lowerLetter"/>
      <w:lvlText w:val="%1)"/>
      <w:lvlJc w:val="left"/>
      <w:pPr>
        <w:ind w:left="1287" w:hanging="360"/>
      </w:pPr>
      <w:rPr>
        <w:rFonts w:cs="Times New Roman"/>
      </w:rPr>
    </w:lvl>
    <w:lvl w:ilvl="1" w:tplc="0C0A0019" w:tentative="1">
      <w:start w:val="1"/>
      <w:numFmt w:val="lowerLetter"/>
      <w:lvlText w:val="%2."/>
      <w:lvlJc w:val="left"/>
      <w:pPr>
        <w:ind w:left="2007" w:hanging="360"/>
      </w:pPr>
      <w:rPr>
        <w:rFonts w:cs="Times New Roman"/>
      </w:rPr>
    </w:lvl>
    <w:lvl w:ilvl="2" w:tplc="0C0A001B" w:tentative="1">
      <w:start w:val="1"/>
      <w:numFmt w:val="lowerRoman"/>
      <w:lvlText w:val="%3."/>
      <w:lvlJc w:val="right"/>
      <w:pPr>
        <w:ind w:left="2727" w:hanging="180"/>
      </w:pPr>
      <w:rPr>
        <w:rFonts w:cs="Times New Roman"/>
      </w:rPr>
    </w:lvl>
    <w:lvl w:ilvl="3" w:tplc="0C0A000F" w:tentative="1">
      <w:start w:val="1"/>
      <w:numFmt w:val="decimal"/>
      <w:lvlText w:val="%4."/>
      <w:lvlJc w:val="left"/>
      <w:pPr>
        <w:ind w:left="3447" w:hanging="360"/>
      </w:pPr>
      <w:rPr>
        <w:rFonts w:cs="Times New Roman"/>
      </w:rPr>
    </w:lvl>
    <w:lvl w:ilvl="4" w:tplc="0C0A0019" w:tentative="1">
      <w:start w:val="1"/>
      <w:numFmt w:val="lowerLetter"/>
      <w:lvlText w:val="%5."/>
      <w:lvlJc w:val="left"/>
      <w:pPr>
        <w:ind w:left="4167" w:hanging="360"/>
      </w:pPr>
      <w:rPr>
        <w:rFonts w:cs="Times New Roman"/>
      </w:rPr>
    </w:lvl>
    <w:lvl w:ilvl="5" w:tplc="0C0A001B" w:tentative="1">
      <w:start w:val="1"/>
      <w:numFmt w:val="lowerRoman"/>
      <w:lvlText w:val="%6."/>
      <w:lvlJc w:val="right"/>
      <w:pPr>
        <w:ind w:left="4887" w:hanging="180"/>
      </w:pPr>
      <w:rPr>
        <w:rFonts w:cs="Times New Roman"/>
      </w:rPr>
    </w:lvl>
    <w:lvl w:ilvl="6" w:tplc="0C0A000F" w:tentative="1">
      <w:start w:val="1"/>
      <w:numFmt w:val="decimal"/>
      <w:lvlText w:val="%7."/>
      <w:lvlJc w:val="left"/>
      <w:pPr>
        <w:ind w:left="5607" w:hanging="360"/>
      </w:pPr>
      <w:rPr>
        <w:rFonts w:cs="Times New Roman"/>
      </w:rPr>
    </w:lvl>
    <w:lvl w:ilvl="7" w:tplc="0C0A0019" w:tentative="1">
      <w:start w:val="1"/>
      <w:numFmt w:val="lowerLetter"/>
      <w:lvlText w:val="%8."/>
      <w:lvlJc w:val="left"/>
      <w:pPr>
        <w:ind w:left="6327" w:hanging="360"/>
      </w:pPr>
      <w:rPr>
        <w:rFonts w:cs="Times New Roman"/>
      </w:rPr>
    </w:lvl>
    <w:lvl w:ilvl="8" w:tplc="0C0A001B" w:tentative="1">
      <w:start w:val="1"/>
      <w:numFmt w:val="lowerRoman"/>
      <w:lvlText w:val="%9."/>
      <w:lvlJc w:val="right"/>
      <w:pPr>
        <w:ind w:left="7047" w:hanging="180"/>
      </w:pPr>
      <w:rPr>
        <w:rFonts w:cs="Times New Roman"/>
      </w:rPr>
    </w:lvl>
  </w:abstractNum>
  <w:abstractNum w:abstractNumId="7">
    <w:nsid w:val="6D0D6CA3"/>
    <w:multiLevelType w:val="hybridMultilevel"/>
    <w:tmpl w:val="113A319E"/>
    <w:lvl w:ilvl="0" w:tplc="0C0A0017">
      <w:start w:val="1"/>
      <w:numFmt w:val="lowerLetter"/>
      <w:lvlText w:val="%1)"/>
      <w:lvlJc w:val="left"/>
      <w:pPr>
        <w:ind w:left="1287" w:hanging="360"/>
      </w:pPr>
      <w:rPr>
        <w:rFonts w:cs="Times New Roman"/>
      </w:rPr>
    </w:lvl>
    <w:lvl w:ilvl="1" w:tplc="0C0A000F">
      <w:start w:val="1"/>
      <w:numFmt w:val="decimal"/>
      <w:lvlText w:val="%2."/>
      <w:lvlJc w:val="left"/>
      <w:pPr>
        <w:tabs>
          <w:tab w:val="num" w:pos="2007"/>
        </w:tabs>
        <w:ind w:left="2007" w:hanging="360"/>
      </w:pPr>
      <w:rPr>
        <w:rFonts w:cs="Times New Roman"/>
      </w:rPr>
    </w:lvl>
    <w:lvl w:ilvl="2" w:tplc="0C0A001B" w:tentative="1">
      <w:start w:val="1"/>
      <w:numFmt w:val="lowerRoman"/>
      <w:lvlText w:val="%3."/>
      <w:lvlJc w:val="right"/>
      <w:pPr>
        <w:ind w:left="2727" w:hanging="180"/>
      </w:pPr>
      <w:rPr>
        <w:rFonts w:cs="Times New Roman"/>
      </w:rPr>
    </w:lvl>
    <w:lvl w:ilvl="3" w:tplc="0C0A000F" w:tentative="1">
      <w:start w:val="1"/>
      <w:numFmt w:val="decimal"/>
      <w:lvlText w:val="%4."/>
      <w:lvlJc w:val="left"/>
      <w:pPr>
        <w:ind w:left="3447" w:hanging="360"/>
      </w:pPr>
      <w:rPr>
        <w:rFonts w:cs="Times New Roman"/>
      </w:rPr>
    </w:lvl>
    <w:lvl w:ilvl="4" w:tplc="0C0A0019" w:tentative="1">
      <w:start w:val="1"/>
      <w:numFmt w:val="lowerLetter"/>
      <w:lvlText w:val="%5."/>
      <w:lvlJc w:val="left"/>
      <w:pPr>
        <w:ind w:left="4167" w:hanging="360"/>
      </w:pPr>
      <w:rPr>
        <w:rFonts w:cs="Times New Roman"/>
      </w:rPr>
    </w:lvl>
    <w:lvl w:ilvl="5" w:tplc="0C0A001B" w:tentative="1">
      <w:start w:val="1"/>
      <w:numFmt w:val="lowerRoman"/>
      <w:lvlText w:val="%6."/>
      <w:lvlJc w:val="right"/>
      <w:pPr>
        <w:ind w:left="4887" w:hanging="180"/>
      </w:pPr>
      <w:rPr>
        <w:rFonts w:cs="Times New Roman"/>
      </w:rPr>
    </w:lvl>
    <w:lvl w:ilvl="6" w:tplc="0C0A000F" w:tentative="1">
      <w:start w:val="1"/>
      <w:numFmt w:val="decimal"/>
      <w:lvlText w:val="%7."/>
      <w:lvlJc w:val="left"/>
      <w:pPr>
        <w:ind w:left="5607" w:hanging="360"/>
      </w:pPr>
      <w:rPr>
        <w:rFonts w:cs="Times New Roman"/>
      </w:rPr>
    </w:lvl>
    <w:lvl w:ilvl="7" w:tplc="0C0A0019" w:tentative="1">
      <w:start w:val="1"/>
      <w:numFmt w:val="lowerLetter"/>
      <w:lvlText w:val="%8."/>
      <w:lvlJc w:val="left"/>
      <w:pPr>
        <w:ind w:left="6327" w:hanging="360"/>
      </w:pPr>
      <w:rPr>
        <w:rFonts w:cs="Times New Roman"/>
      </w:rPr>
    </w:lvl>
    <w:lvl w:ilvl="8" w:tplc="0C0A001B" w:tentative="1">
      <w:start w:val="1"/>
      <w:numFmt w:val="lowerRoman"/>
      <w:lvlText w:val="%9."/>
      <w:lvlJc w:val="right"/>
      <w:pPr>
        <w:ind w:left="7047" w:hanging="180"/>
      </w:pPr>
      <w:rPr>
        <w:rFonts w:cs="Times New Roman"/>
      </w:rPr>
    </w:lvl>
  </w:abstractNum>
  <w:abstractNum w:abstractNumId="8">
    <w:nsid w:val="74CE572F"/>
    <w:multiLevelType w:val="hybridMultilevel"/>
    <w:tmpl w:val="53E01A04"/>
    <w:lvl w:ilvl="0" w:tplc="7C067134">
      <w:start w:val="1"/>
      <w:numFmt w:val="decimal"/>
      <w:lvlText w:val="%1."/>
      <w:lvlJc w:val="left"/>
      <w:pPr>
        <w:tabs>
          <w:tab w:val="num" w:pos="454"/>
        </w:tabs>
        <w:ind w:left="454" w:hanging="454"/>
      </w:pPr>
      <w:rPr>
        <w:rFonts w:ascii="Tahoma" w:hAnsi="Tahoma" w:cs="Tahoma" w:hint="default"/>
        <w:b/>
        <w:i w:val="0"/>
        <w:shadow/>
        <w:color w:val="auto"/>
        <w:sz w:val="20"/>
        <w:szCs w:val="20"/>
      </w:rPr>
    </w:lvl>
    <w:lvl w:ilvl="1" w:tplc="775A4820">
      <w:start w:val="1"/>
      <w:numFmt w:val="upperRoman"/>
      <w:isLgl/>
      <w:lvlText w:val="%2."/>
      <w:lvlJc w:val="left"/>
      <w:pPr>
        <w:tabs>
          <w:tab w:val="num" w:pos="1174"/>
        </w:tabs>
        <w:ind w:left="1174" w:hanging="720"/>
      </w:pPr>
      <w:rPr>
        <w:rFonts w:ascii="Times New Roman" w:eastAsia="Times New Roman" w:hAnsi="Times New Roman" w:cs="Times New Roman"/>
        <w:b/>
      </w:rPr>
    </w:lvl>
    <w:lvl w:ilvl="2" w:tplc="415AAF92">
      <w:numFmt w:val="none"/>
      <w:lvlText w:val=""/>
      <w:lvlJc w:val="left"/>
      <w:pPr>
        <w:tabs>
          <w:tab w:val="num" w:pos="360"/>
        </w:tabs>
      </w:pPr>
    </w:lvl>
    <w:lvl w:ilvl="3" w:tplc="0DC21650">
      <w:numFmt w:val="none"/>
      <w:lvlText w:val=""/>
      <w:lvlJc w:val="left"/>
      <w:pPr>
        <w:tabs>
          <w:tab w:val="num" w:pos="360"/>
        </w:tabs>
      </w:pPr>
    </w:lvl>
    <w:lvl w:ilvl="4" w:tplc="7C5AF8B4">
      <w:numFmt w:val="none"/>
      <w:lvlText w:val=""/>
      <w:lvlJc w:val="left"/>
      <w:pPr>
        <w:tabs>
          <w:tab w:val="num" w:pos="360"/>
        </w:tabs>
      </w:pPr>
    </w:lvl>
    <w:lvl w:ilvl="5" w:tplc="9A7040EE">
      <w:numFmt w:val="none"/>
      <w:lvlText w:val=""/>
      <w:lvlJc w:val="left"/>
      <w:pPr>
        <w:tabs>
          <w:tab w:val="num" w:pos="360"/>
        </w:tabs>
      </w:pPr>
    </w:lvl>
    <w:lvl w:ilvl="6" w:tplc="40A2ED64">
      <w:numFmt w:val="none"/>
      <w:lvlText w:val=""/>
      <w:lvlJc w:val="left"/>
      <w:pPr>
        <w:tabs>
          <w:tab w:val="num" w:pos="360"/>
        </w:tabs>
      </w:pPr>
    </w:lvl>
    <w:lvl w:ilvl="7" w:tplc="9356F91C">
      <w:numFmt w:val="none"/>
      <w:lvlText w:val=""/>
      <w:lvlJc w:val="left"/>
      <w:pPr>
        <w:tabs>
          <w:tab w:val="num" w:pos="360"/>
        </w:tabs>
      </w:pPr>
    </w:lvl>
    <w:lvl w:ilvl="8" w:tplc="3A1EF428">
      <w:numFmt w:val="none"/>
      <w:lvlText w:val=""/>
      <w:lvlJc w:val="left"/>
      <w:pPr>
        <w:tabs>
          <w:tab w:val="num" w:pos="360"/>
        </w:tabs>
      </w:pPr>
    </w:lvl>
  </w:abstractNum>
  <w:num w:numId="1">
    <w:abstractNumId w:val="5"/>
  </w:num>
  <w:num w:numId="2">
    <w:abstractNumId w:val="1"/>
  </w:num>
  <w:num w:numId="3">
    <w:abstractNumId w:val="7"/>
  </w:num>
  <w:num w:numId="4">
    <w:abstractNumId w:val="6"/>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0"/>
  </w:num>
  <w:num w:numId="9">
    <w:abstractNumId w:val="3"/>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FE1006"/>
    <w:rsid w:val="000A0016"/>
    <w:rsid w:val="000A29D3"/>
    <w:rsid w:val="001D0C98"/>
    <w:rsid w:val="005F0E2E"/>
    <w:rsid w:val="00686DEA"/>
    <w:rsid w:val="006B59ED"/>
    <w:rsid w:val="006C0EA6"/>
    <w:rsid w:val="00773AF5"/>
    <w:rsid w:val="007849F1"/>
    <w:rsid w:val="00870A4E"/>
    <w:rsid w:val="009042C5"/>
    <w:rsid w:val="009A1495"/>
    <w:rsid w:val="00E30BD7"/>
    <w:rsid w:val="00E5532E"/>
    <w:rsid w:val="00E72DDB"/>
    <w:rsid w:val="00E940F7"/>
    <w:rsid w:val="00FE100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006"/>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FE1006"/>
    <w:pPr>
      <w:spacing w:after="120"/>
    </w:pPr>
    <w:rPr>
      <w:sz w:val="16"/>
      <w:szCs w:val="16"/>
      <w:lang w:val="es-PE"/>
    </w:rPr>
  </w:style>
  <w:style w:type="character" w:customStyle="1" w:styleId="Textoindependiente3Car">
    <w:name w:val="Texto independiente 3 Car"/>
    <w:basedOn w:val="Fuentedeprrafopredeter"/>
    <w:link w:val="Textoindependiente3"/>
    <w:rsid w:val="00FE1006"/>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FE1006"/>
    <w:pPr>
      <w:jc w:val="both"/>
    </w:pPr>
    <w:rPr>
      <w:rFonts w:ascii="Tahoma" w:hAnsi="Tahoma"/>
      <w:sz w:val="22"/>
      <w:szCs w:val="20"/>
    </w:rPr>
  </w:style>
  <w:style w:type="paragraph" w:styleId="Prrafodelista">
    <w:name w:val="List Paragraph"/>
    <w:basedOn w:val="Normal"/>
    <w:qFormat/>
    <w:rsid w:val="00FE1006"/>
    <w:pPr>
      <w:widowControl w:val="0"/>
      <w:suppressAutoHyphens/>
      <w:ind w:left="708"/>
    </w:pPr>
    <w:rPr>
      <w:szCs w:val="20"/>
      <w:lang w:val="es-ES_tradnl"/>
    </w:rPr>
  </w:style>
  <w:style w:type="paragraph" w:styleId="Piedepgina">
    <w:name w:val="footer"/>
    <w:basedOn w:val="Normal"/>
    <w:link w:val="PiedepginaCar"/>
    <w:uiPriority w:val="99"/>
    <w:unhideWhenUsed/>
    <w:rsid w:val="00FE1006"/>
    <w:pPr>
      <w:tabs>
        <w:tab w:val="center" w:pos="4252"/>
        <w:tab w:val="right" w:pos="8504"/>
      </w:tabs>
    </w:pPr>
  </w:style>
  <w:style w:type="character" w:customStyle="1" w:styleId="PiedepginaCar">
    <w:name w:val="Pie de página Car"/>
    <w:basedOn w:val="Fuentedeprrafopredeter"/>
    <w:link w:val="Piedepgina"/>
    <w:uiPriority w:val="99"/>
    <w:rsid w:val="00FE1006"/>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1 Car, Car2 Car Car Car Car Car, Car2 Car Car, Car2 Car Car Car Car Car Car, Car2 Car1 Car, Car Car Car, Car2 Car, Car2"/>
    <w:basedOn w:val="Normal"/>
    <w:link w:val="TextonotapieCar"/>
    <w:rsid w:val="00FE1006"/>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 Car2 Car Car Car Car Car Car1, Car2 Car Car Car, Car2 Car1 Car Car"/>
    <w:basedOn w:val="Fuentedeprrafopredeter"/>
    <w:link w:val="Textonotapie"/>
    <w:rsid w:val="00FE1006"/>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FE1006"/>
    <w:rPr>
      <w:rFonts w:cs="Times New Roman"/>
      <w:vertAlign w:val="superscript"/>
    </w:rPr>
  </w:style>
  <w:style w:type="paragraph" w:styleId="Encabezado">
    <w:name w:val="header"/>
    <w:aliases w:val="maria,h"/>
    <w:basedOn w:val="Normal"/>
    <w:link w:val="EncabezadoCar"/>
    <w:uiPriority w:val="99"/>
    <w:semiHidden/>
    <w:unhideWhenUsed/>
    <w:rsid w:val="00870A4E"/>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870A4E"/>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55669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6</Pages>
  <Words>1994</Words>
  <Characters>10969</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7</cp:revision>
  <cp:lastPrinted>2011-02-16T17:24:00Z</cp:lastPrinted>
  <dcterms:created xsi:type="dcterms:W3CDTF">2011-02-15T21:18:00Z</dcterms:created>
  <dcterms:modified xsi:type="dcterms:W3CDTF">2011-03-07T16:43:00Z</dcterms:modified>
</cp:coreProperties>
</file>